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68" w:rsidRPr="00723468" w:rsidRDefault="00723468" w:rsidP="00723468">
      <w:pPr>
        <w:spacing w:before="100" w:beforeAutospacing="1" w:after="100" w:afterAutospacing="1" w:line="240" w:lineRule="auto"/>
        <w:jc w:val="center"/>
        <w:rPr>
          <w:rFonts w:ascii="Times New Roman" w:eastAsia="Times New Roman" w:hAnsi="Times New Roman" w:cs="Times New Roman"/>
          <w:b/>
          <w:bCs/>
          <w:sz w:val="32"/>
          <w:szCs w:val="32"/>
          <w:u w:val="single"/>
          <w:lang w:val="sr-Cyrl-CS"/>
        </w:rPr>
      </w:pPr>
      <w:r w:rsidRPr="00723468">
        <w:rPr>
          <w:rFonts w:ascii="Times New Roman" w:eastAsia="Times New Roman" w:hAnsi="Times New Roman" w:cs="Times New Roman"/>
          <w:b/>
          <w:bCs/>
          <w:sz w:val="32"/>
          <w:szCs w:val="32"/>
          <w:u w:val="single"/>
          <w:lang w:val="sr-Cyrl-CS"/>
        </w:rPr>
        <w:t>ХОРИЗОНТ 2020</w:t>
      </w:r>
    </w:p>
    <w:p w:rsidR="00723468" w:rsidRDefault="00723468" w:rsidP="00723468">
      <w:pPr>
        <w:spacing w:before="100" w:beforeAutospacing="1" w:after="100" w:afterAutospacing="1" w:line="240" w:lineRule="auto"/>
        <w:jc w:val="both"/>
        <w:rPr>
          <w:rFonts w:ascii="Times New Roman" w:eastAsia="Times New Roman" w:hAnsi="Times New Roman" w:cs="Times New Roman"/>
          <w:b/>
          <w:bCs/>
          <w:sz w:val="24"/>
          <w:szCs w:val="24"/>
        </w:rPr>
      </w:pPr>
    </w:p>
    <w:p w:rsidR="00723468" w:rsidRPr="009B5F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5F7F">
        <w:rPr>
          <w:rFonts w:ascii="Times New Roman" w:eastAsia="Times New Roman" w:hAnsi="Times New Roman" w:cs="Times New Roman"/>
          <w:b/>
          <w:bCs/>
          <w:sz w:val="24"/>
          <w:szCs w:val="24"/>
        </w:rPr>
        <w:t>Хоризонт 2020</w:t>
      </w:r>
      <w:r w:rsidRPr="009B5F7F">
        <w:rPr>
          <w:rFonts w:ascii="Times New Roman" w:eastAsia="Times New Roman" w:hAnsi="Times New Roman" w:cs="Times New Roman"/>
          <w:sz w:val="24"/>
          <w:szCs w:val="24"/>
        </w:rPr>
        <w:t xml:space="preserve"> (</w:t>
      </w:r>
      <w:hyperlink r:id="rId5" w:tgtFrame="_blank" w:history="1">
        <w:r w:rsidRPr="008B4680">
          <w:rPr>
            <w:rFonts w:ascii="Times New Roman" w:eastAsia="Times New Roman" w:hAnsi="Times New Roman" w:cs="Times New Roman"/>
            <w:b/>
            <w:bCs/>
            <w:sz w:val="24"/>
            <w:szCs w:val="24"/>
            <w:u w:val="single"/>
          </w:rPr>
          <w:t>Horizon 2020</w:t>
        </w:r>
      </w:hyperlink>
      <w:r w:rsidRPr="009B5F7F">
        <w:rPr>
          <w:rFonts w:ascii="Times New Roman" w:eastAsia="Times New Roman" w:hAnsi="Times New Roman" w:cs="Times New Roman"/>
          <w:sz w:val="24"/>
          <w:szCs w:val="24"/>
        </w:rPr>
        <w:t>) је нови програм Европске уније за истраживање и иновације за период 2014 – 2020.</w:t>
      </w:r>
      <w:proofErr w:type="gramEnd"/>
      <w:r w:rsidRPr="009B5F7F">
        <w:rPr>
          <w:rFonts w:ascii="Times New Roman" w:eastAsia="Times New Roman" w:hAnsi="Times New Roman" w:cs="Times New Roman"/>
          <w:sz w:val="24"/>
          <w:szCs w:val="24"/>
        </w:rPr>
        <w:t xml:space="preserve"> </w:t>
      </w:r>
      <w:proofErr w:type="gramStart"/>
      <w:r w:rsidRPr="009B5F7F">
        <w:rPr>
          <w:rFonts w:ascii="Times New Roman" w:eastAsia="Times New Roman" w:hAnsi="Times New Roman" w:cs="Times New Roman"/>
          <w:sz w:val="24"/>
          <w:szCs w:val="24"/>
        </w:rPr>
        <w:t>године</w:t>
      </w:r>
      <w:proofErr w:type="gramEnd"/>
      <w:r w:rsidRPr="009B5F7F">
        <w:rPr>
          <w:rFonts w:ascii="Times New Roman" w:eastAsia="Times New Roman" w:hAnsi="Times New Roman" w:cs="Times New Roman"/>
          <w:sz w:val="24"/>
          <w:szCs w:val="24"/>
        </w:rPr>
        <w:t xml:space="preserve"> који обједињује Седми оквирни програм (FP7), део Програма за конкурентност и иновације (CIP) и Европски институт за иновације и технологију (EIT).</w:t>
      </w:r>
      <w:r w:rsidRPr="009B5F7F">
        <w:rPr>
          <w:rFonts w:ascii="Times New Roman" w:eastAsia="Times New Roman" w:hAnsi="Times New Roman" w:cs="Times New Roman"/>
          <w:b/>
          <w:bCs/>
          <w:sz w:val="24"/>
          <w:szCs w:val="24"/>
        </w:rPr>
        <w:t xml:space="preserve"> </w:t>
      </w:r>
      <w:r w:rsidRPr="009B5F7F">
        <w:rPr>
          <w:rFonts w:ascii="Times New Roman" w:eastAsia="Times New Roman" w:hAnsi="Times New Roman" w:cs="Times New Roman"/>
          <w:sz w:val="24"/>
          <w:szCs w:val="24"/>
        </w:rPr>
        <w:t xml:space="preserve">Хоризонт 2020 је усмерен ка остваривању кључних стратешких докумената: </w:t>
      </w:r>
      <w:hyperlink r:id="rId6" w:tgtFrame="_blank" w:history="1">
        <w:r w:rsidRPr="008B4680">
          <w:rPr>
            <w:rFonts w:ascii="Times New Roman" w:eastAsia="Times New Roman" w:hAnsi="Times New Roman" w:cs="Times New Roman"/>
            <w:b/>
            <w:sz w:val="24"/>
            <w:szCs w:val="24"/>
            <w:u w:val="single"/>
          </w:rPr>
          <w:t>EВРОПА 2020</w:t>
        </w:r>
      </w:hyperlink>
      <w:r w:rsidRPr="009B5F7F">
        <w:rPr>
          <w:rFonts w:ascii="Times New Roman" w:eastAsia="Times New Roman" w:hAnsi="Times New Roman" w:cs="Times New Roman"/>
          <w:sz w:val="24"/>
          <w:szCs w:val="24"/>
        </w:rPr>
        <w:t>, Иновациона унија (</w:t>
      </w:r>
      <w:r w:rsidRPr="008B4680">
        <w:rPr>
          <w:rFonts w:ascii="Times New Roman" w:eastAsia="Times New Roman" w:hAnsi="Times New Roman" w:cs="Times New Roman"/>
          <w:b/>
          <w:sz w:val="24"/>
          <w:szCs w:val="24"/>
          <w:u w:val="single"/>
        </w:rPr>
        <w:t>I</w:t>
      </w:r>
      <w:hyperlink r:id="rId7" w:tgtFrame="_blank" w:history="1">
        <w:r w:rsidRPr="008B4680">
          <w:rPr>
            <w:rFonts w:ascii="Times New Roman" w:eastAsia="Times New Roman" w:hAnsi="Times New Roman" w:cs="Times New Roman"/>
            <w:b/>
            <w:sz w:val="24"/>
            <w:szCs w:val="24"/>
            <w:u w:val="single"/>
          </w:rPr>
          <w:t>nnovation Union</w:t>
        </w:r>
      </w:hyperlink>
      <w:r w:rsidRPr="009B5F7F">
        <w:rPr>
          <w:rFonts w:ascii="Times New Roman" w:eastAsia="Times New Roman" w:hAnsi="Times New Roman" w:cs="Times New Roman"/>
          <w:sz w:val="24"/>
          <w:szCs w:val="24"/>
        </w:rPr>
        <w:t>) и на изградњу Европског истраживачког простора. Са буџетом од око 78 милијарди евра овај програм доприноси проналажењу решења за економску кризу, инвестирању у будуће послове и развој, решавању питања грађана ЕУ о њиховој материјалној сигурности, општој безбедности и животној средини, као и јачању глобалне позиције ЕУ у истраживањима, иновацијама и технологијама.</w:t>
      </w:r>
    </w:p>
    <w:p w:rsidR="00723468" w:rsidRPr="00723468" w:rsidRDefault="00723468" w:rsidP="00723468">
      <w:pPr>
        <w:spacing w:before="100" w:beforeAutospacing="1" w:after="100" w:afterAutospacing="1" w:line="240" w:lineRule="auto"/>
        <w:jc w:val="both"/>
        <w:rPr>
          <w:rFonts w:ascii="Times New Roman" w:eastAsia="Times New Roman" w:hAnsi="Times New Roman" w:cs="Times New Roman"/>
          <w:sz w:val="24"/>
          <w:szCs w:val="24"/>
          <w:u w:val="single"/>
        </w:rPr>
      </w:pPr>
      <w:r w:rsidRPr="00723468">
        <w:rPr>
          <w:rFonts w:ascii="Times New Roman" w:eastAsia="Times New Roman" w:hAnsi="Times New Roman" w:cs="Times New Roman"/>
          <w:i/>
          <w:iCs/>
          <w:sz w:val="24"/>
          <w:szCs w:val="24"/>
          <w:u w:val="single"/>
        </w:rPr>
        <w:t xml:space="preserve">Хоризонт 2020 </w:t>
      </w:r>
      <w:r w:rsidRPr="00723468">
        <w:rPr>
          <w:rFonts w:ascii="Times New Roman" w:eastAsia="Times New Roman" w:hAnsi="Times New Roman" w:cs="Times New Roman"/>
          <w:sz w:val="24"/>
          <w:szCs w:val="24"/>
          <w:u w:val="single"/>
        </w:rPr>
        <w:t>чине три главне теме, или како их Комисија назива три „стуба“:</w:t>
      </w:r>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t xml:space="preserve">1. </w:t>
      </w:r>
      <w:r w:rsidRPr="00723468">
        <w:rPr>
          <w:rFonts w:ascii="Times New Roman" w:eastAsia="Times New Roman" w:hAnsi="Times New Roman" w:cs="Times New Roman"/>
          <w:b/>
          <w:i/>
          <w:sz w:val="24"/>
          <w:szCs w:val="24"/>
        </w:rPr>
        <w:t>Изврсност у науци (</w:t>
      </w:r>
      <w:r w:rsidRPr="00723468">
        <w:rPr>
          <w:rFonts w:ascii="Times New Roman" w:eastAsia="Times New Roman" w:hAnsi="Times New Roman" w:cs="Times New Roman"/>
          <w:b/>
          <w:i/>
          <w:iCs/>
          <w:sz w:val="24"/>
          <w:szCs w:val="24"/>
        </w:rPr>
        <w:t>Excellence in Science</w:t>
      </w:r>
      <w:r w:rsidRPr="00723468">
        <w:rPr>
          <w:rFonts w:ascii="Times New Roman" w:eastAsia="Times New Roman" w:hAnsi="Times New Roman" w:cs="Times New Roman"/>
          <w:b/>
          <w:i/>
          <w:sz w:val="24"/>
          <w:szCs w:val="24"/>
        </w:rPr>
        <w:t>)</w:t>
      </w:r>
      <w:r w:rsidRPr="0094387F">
        <w:rPr>
          <w:rFonts w:ascii="Times New Roman" w:eastAsia="Times New Roman" w:hAnsi="Times New Roman" w:cs="Times New Roman"/>
          <w:sz w:val="24"/>
          <w:szCs w:val="24"/>
        </w:rPr>
        <w:t xml:space="preserve"> – финансирање најзанимљивијих научних истраживања путем јавног конкурса, које ће се вршити кроз четири програма: а) Европски истраживачки савет (</w:t>
      </w:r>
      <w:r w:rsidRPr="0094387F">
        <w:rPr>
          <w:rFonts w:ascii="Times New Roman" w:eastAsia="Times New Roman" w:hAnsi="Times New Roman" w:cs="Times New Roman"/>
          <w:i/>
          <w:iCs/>
          <w:sz w:val="24"/>
          <w:szCs w:val="24"/>
        </w:rPr>
        <w:t>European Research Council</w:t>
      </w:r>
      <w:r w:rsidRPr="0094387F">
        <w:rPr>
          <w:rFonts w:ascii="Times New Roman" w:eastAsia="Times New Roman" w:hAnsi="Times New Roman" w:cs="Times New Roman"/>
          <w:sz w:val="24"/>
          <w:szCs w:val="24"/>
        </w:rPr>
        <w:t>); б) истраживачке инфраструктуре; в) нове и будуће инфраструктуре; и г) кроз истраживачке грантове Програма „Марије Кири“.</w:t>
      </w:r>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t xml:space="preserve">2. </w:t>
      </w:r>
      <w:r w:rsidRPr="00723468">
        <w:rPr>
          <w:rFonts w:ascii="Times New Roman" w:eastAsia="Times New Roman" w:hAnsi="Times New Roman" w:cs="Times New Roman"/>
          <w:b/>
          <w:i/>
          <w:sz w:val="24"/>
          <w:szCs w:val="24"/>
        </w:rPr>
        <w:t>Вођство у индустрији (</w:t>
      </w:r>
      <w:r w:rsidRPr="00723468">
        <w:rPr>
          <w:rFonts w:ascii="Times New Roman" w:eastAsia="Times New Roman" w:hAnsi="Times New Roman" w:cs="Times New Roman"/>
          <w:b/>
          <w:i/>
          <w:iCs/>
          <w:sz w:val="24"/>
          <w:szCs w:val="24"/>
        </w:rPr>
        <w:t>Industrial Leadership</w:t>
      </w:r>
      <w:r w:rsidRPr="00723468">
        <w:rPr>
          <w:rFonts w:ascii="Times New Roman" w:eastAsia="Times New Roman" w:hAnsi="Times New Roman" w:cs="Times New Roman"/>
          <w:b/>
          <w:i/>
          <w:sz w:val="24"/>
          <w:szCs w:val="24"/>
        </w:rPr>
        <w:t>)</w:t>
      </w:r>
      <w:r w:rsidRPr="0094387F">
        <w:rPr>
          <w:rFonts w:ascii="Times New Roman" w:eastAsia="Times New Roman" w:hAnsi="Times New Roman" w:cs="Times New Roman"/>
          <w:sz w:val="24"/>
          <w:szCs w:val="24"/>
        </w:rPr>
        <w:t xml:space="preserve"> – ово укључује програм за подршку иновативних малих и средњих предузећа; финансијских инструмената, као и дугова и власничких објеката у порцесу иновација, као и програм за подстицање развоја и индустријских технологија.</w:t>
      </w:r>
    </w:p>
    <w:p w:rsidR="00723468" w:rsidRDefault="00723468" w:rsidP="00723468">
      <w:pPr>
        <w:spacing w:before="100" w:beforeAutospacing="1" w:after="100" w:afterAutospacing="1" w:line="240" w:lineRule="auto"/>
        <w:jc w:val="both"/>
        <w:rPr>
          <w:rFonts w:ascii="Times New Roman" w:eastAsia="Times New Roman" w:hAnsi="Times New Roman" w:cs="Times New Roman"/>
          <w:sz w:val="24"/>
          <w:szCs w:val="24"/>
          <w:lang w:val="sr-Cyrl-CS"/>
        </w:rPr>
      </w:pPr>
      <w:r w:rsidRPr="0094387F">
        <w:rPr>
          <w:rFonts w:ascii="Times New Roman" w:eastAsia="Times New Roman" w:hAnsi="Times New Roman" w:cs="Times New Roman"/>
          <w:sz w:val="24"/>
          <w:szCs w:val="24"/>
        </w:rPr>
        <w:t xml:space="preserve">3. </w:t>
      </w:r>
      <w:r w:rsidRPr="00723468">
        <w:rPr>
          <w:rFonts w:ascii="Times New Roman" w:eastAsia="Times New Roman" w:hAnsi="Times New Roman" w:cs="Times New Roman"/>
          <w:b/>
          <w:i/>
          <w:sz w:val="24"/>
          <w:szCs w:val="24"/>
        </w:rPr>
        <w:t>Друштвени изазови (</w:t>
      </w:r>
      <w:r w:rsidRPr="00723468">
        <w:rPr>
          <w:rFonts w:ascii="Times New Roman" w:eastAsia="Times New Roman" w:hAnsi="Times New Roman" w:cs="Times New Roman"/>
          <w:b/>
          <w:i/>
          <w:iCs/>
          <w:sz w:val="24"/>
          <w:szCs w:val="24"/>
        </w:rPr>
        <w:t>Social Challenges</w:t>
      </w:r>
      <w:r w:rsidRPr="00723468">
        <w:rPr>
          <w:rFonts w:ascii="Times New Roman" w:eastAsia="Times New Roman" w:hAnsi="Times New Roman" w:cs="Times New Roman"/>
          <w:b/>
          <w:i/>
          <w:sz w:val="24"/>
          <w:szCs w:val="24"/>
        </w:rPr>
        <w:t>)</w:t>
      </w:r>
      <w:r w:rsidRPr="0094387F">
        <w:rPr>
          <w:rFonts w:ascii="Times New Roman" w:eastAsia="Times New Roman" w:hAnsi="Times New Roman" w:cs="Times New Roman"/>
          <w:sz w:val="24"/>
          <w:szCs w:val="24"/>
        </w:rPr>
        <w:t xml:space="preserve"> – означавају подршку истраживањима у областима као што су здравство, клима, храна, сигурност, саобраћај и енергетика.</w:t>
      </w:r>
    </w:p>
    <w:p w:rsidR="00723468" w:rsidRDefault="00723468" w:rsidP="00723468">
      <w:pPr>
        <w:pStyle w:val="Heading4"/>
        <w:jc w:val="both"/>
      </w:pPr>
      <w:r>
        <w:rPr>
          <w:rStyle w:val="Strong"/>
        </w:rPr>
        <w:t>Шта подразумева први „стуб</w:t>
      </w:r>
      <w:proofErr w:type="gramStart"/>
      <w:r>
        <w:rPr>
          <w:rStyle w:val="Strong"/>
        </w:rPr>
        <w:t>“ програма</w:t>
      </w:r>
      <w:proofErr w:type="gramEnd"/>
      <w:r>
        <w:rPr>
          <w:rStyle w:val="Strong"/>
        </w:rPr>
        <w:t xml:space="preserve"> </w:t>
      </w:r>
      <w:r>
        <w:rPr>
          <w:rStyle w:val="Emphasis"/>
        </w:rPr>
        <w:t xml:space="preserve">Хоризонт 2020 </w:t>
      </w:r>
      <w:r>
        <w:rPr>
          <w:rStyle w:val="Strong"/>
        </w:rPr>
        <w:t xml:space="preserve"> – </w:t>
      </w:r>
      <w:r w:rsidRPr="00723468">
        <w:rPr>
          <w:rStyle w:val="Strong"/>
          <w:b/>
          <w:i/>
        </w:rPr>
        <w:t>Изврсност у науци</w:t>
      </w:r>
      <w:r>
        <w:rPr>
          <w:rStyle w:val="Strong"/>
        </w:rPr>
        <w:t>?</w:t>
      </w:r>
    </w:p>
    <w:p w:rsidR="00723468" w:rsidRDefault="00723468" w:rsidP="00723468">
      <w:pPr>
        <w:pStyle w:val="NormalWeb"/>
        <w:jc w:val="both"/>
      </w:pPr>
      <w:r>
        <w:t>Грантови Европског истраживачког савета (</w:t>
      </w:r>
      <w:r>
        <w:rPr>
          <w:rStyle w:val="Emphasis"/>
        </w:rPr>
        <w:t>ERC</w:t>
      </w:r>
      <w:r>
        <w:t>) финансираће истраживаче у пет различитих фаза њихове каријере: почетној – грантови за перспективне вође истраживања; консолидованој – грантови за оне који су доказали свој потенцијал; напредној – грантови за пројекте високог ризика, односно пионирске пројекте; фази синергије – грантови који подржавају тимове од 2 до 4 истраживача; и фази доказивања– грантови за доказивање потенцијала комерцијализације.</w:t>
      </w:r>
    </w:p>
    <w:p w:rsidR="00723468" w:rsidRDefault="00723468" w:rsidP="00723468">
      <w:pPr>
        <w:pStyle w:val="NormalWeb"/>
        <w:jc w:val="both"/>
      </w:pPr>
      <w:proofErr w:type="gramStart"/>
      <w:r>
        <w:t>Нове и будуће технологије (</w:t>
      </w:r>
      <w:r>
        <w:rPr>
          <w:rStyle w:val="Emphasis"/>
        </w:rPr>
        <w:t>FET</w:t>
      </w:r>
      <w:r>
        <w:t>) ће финансирати заједничкa истраживања високоризичних пројеката који имају потенцијал да остваре прави технолошки и друштвени утицај.</w:t>
      </w:r>
      <w:proofErr w:type="gramEnd"/>
      <w:r>
        <w:t xml:space="preserve"> Постоје три врсте пројеката: </w:t>
      </w:r>
      <w:r>
        <w:rPr>
          <w:rStyle w:val="Emphasis"/>
        </w:rPr>
        <w:t>FET Open</w:t>
      </w:r>
      <w:r>
        <w:t xml:space="preserve"> – у којима  ће се истраживачи надметати за средства; </w:t>
      </w:r>
      <w:r>
        <w:rPr>
          <w:rStyle w:val="Emphasis"/>
        </w:rPr>
        <w:t>FET Proactive</w:t>
      </w:r>
      <w:r>
        <w:t xml:space="preserve"> – који ће оглашавати позиве на одређене теме и промовисати стварање мултидисциплинарних истраживачких заједница, и </w:t>
      </w:r>
      <w:r>
        <w:rPr>
          <w:rStyle w:val="Emphasis"/>
        </w:rPr>
        <w:t>FET Flagship</w:t>
      </w:r>
      <w:r>
        <w:t xml:space="preserve"> – двa десетогодишња истраживачка пројекта са темом </w:t>
      </w:r>
      <w:r>
        <w:rPr>
          <w:rStyle w:val="Emphasis"/>
        </w:rPr>
        <w:t>Graphene and the Human Brain</w:t>
      </w:r>
      <w:r>
        <w:t xml:space="preserve">, </w:t>
      </w:r>
      <w:r>
        <w:lastRenderedPageBreak/>
        <w:t>објављена у јануару 2013. Оба ће добити</w:t>
      </w:r>
      <w:proofErr w:type="gramStart"/>
      <w:r>
        <w:t>  по</w:t>
      </w:r>
      <w:proofErr w:type="gramEnd"/>
      <w:r>
        <w:t xml:space="preserve"> милијарду евра, сваки за обављање истраживања великих размера у овим напредним научним областима.</w:t>
      </w:r>
    </w:p>
    <w:p w:rsidR="00723468" w:rsidRDefault="00723468" w:rsidP="00723468">
      <w:pPr>
        <w:pStyle w:val="NormalWeb"/>
        <w:jc w:val="both"/>
      </w:pPr>
      <w:r>
        <w:t>Истраживање под именом „Инфраструктуре</w:t>
      </w:r>
      <w:proofErr w:type="gramStart"/>
      <w:r>
        <w:t>“ има</w:t>
      </w:r>
      <w:proofErr w:type="gramEnd"/>
      <w:r>
        <w:t xml:space="preserve"> за циљ да свим истраживачима светске класе у Европи обезбеди приступ истраживачким инфраструктурама, укључујући и е-инфраструктуре. </w:t>
      </w:r>
      <w:proofErr w:type="gramStart"/>
      <w:r>
        <w:t>Циљ је такође да се подстакне иновациони потенцијал истраживачких инфраструктура, као и да се промовише већа сарадња унутар Европе и на међународном плану.</w:t>
      </w:r>
      <w:proofErr w:type="gramEnd"/>
    </w:p>
    <w:p w:rsidR="00723468" w:rsidRDefault="00723468" w:rsidP="00723468">
      <w:pPr>
        <w:pStyle w:val="NormalWeb"/>
        <w:jc w:val="both"/>
        <w:rPr>
          <w:lang w:val="sr-Cyrl-CS"/>
        </w:rPr>
      </w:pPr>
      <w:r>
        <w:t>Истраживачки програм „Марија Склодовска Кири</w:t>
      </w:r>
      <w:proofErr w:type="gramStart"/>
      <w:r>
        <w:t>“ нуди</w:t>
      </w:r>
      <w:proofErr w:type="gramEnd"/>
      <w:r>
        <w:t xml:space="preserve"> могућности за развој каријере у академским и неакадемским секторима кроз четири категорије: бесповратну иницијалну обуку, доживотну обуку и развој каријере, индустријску обуку, попут индустријско-академског прераспоређивања и индустријских доктората, и коришћење стипендија, које ће студентима омогућити да се школују у иностранству.</w:t>
      </w:r>
    </w:p>
    <w:p w:rsidR="00723468" w:rsidRDefault="00723468" w:rsidP="00723468">
      <w:pPr>
        <w:pStyle w:val="Heading4"/>
        <w:jc w:val="both"/>
      </w:pPr>
      <w:proofErr w:type="gramStart"/>
      <w:r>
        <w:rPr>
          <w:rStyle w:val="Strong"/>
        </w:rPr>
        <w:t xml:space="preserve">Који ће то специфични елементи програма </w:t>
      </w:r>
      <w:r>
        <w:rPr>
          <w:rStyle w:val="Emphasis"/>
        </w:rPr>
        <w:t>Хоризонт 2020</w:t>
      </w:r>
      <w:r>
        <w:rPr>
          <w:rStyle w:val="Strong"/>
        </w:rPr>
        <w:t xml:space="preserve"> промовисати иновације?</w:t>
      </w:r>
      <w:proofErr w:type="gramEnd"/>
    </w:p>
    <w:p w:rsidR="00723468" w:rsidRDefault="00723468" w:rsidP="00723468">
      <w:pPr>
        <w:pStyle w:val="NormalWeb"/>
        <w:jc w:val="both"/>
      </w:pPr>
      <w:proofErr w:type="gramStart"/>
      <w:r>
        <w:t>Програм „Могућности и индустријске технологије“, који чини други „стуб“, осмишњен је да подстакне иновације у постојећим и новим секторима.</w:t>
      </w:r>
      <w:proofErr w:type="gramEnd"/>
      <w:r>
        <w:t xml:space="preserve"> </w:t>
      </w:r>
      <w:proofErr w:type="gramStart"/>
      <w:r>
        <w:t>Ово укључује информације и комуникационе технологије, нанотехнологије, напредне материјале, биотехнологију, напредну производњу и прераду и простор.</w:t>
      </w:r>
      <w:proofErr w:type="gramEnd"/>
    </w:p>
    <w:p w:rsidR="00723468" w:rsidRDefault="00723468" w:rsidP="00723468">
      <w:pPr>
        <w:pStyle w:val="NormalWeb"/>
        <w:jc w:val="both"/>
      </w:pPr>
      <w:r>
        <w:t>Финансијски инструменти наведени под другим „стубом</w:t>
      </w:r>
      <w:proofErr w:type="gramStart"/>
      <w:r>
        <w:t>“ имају</w:t>
      </w:r>
      <w:proofErr w:type="gramEnd"/>
      <w:r>
        <w:t xml:space="preserve"> за циљ да побољшају доступност финансирања за иновативна предузећа. </w:t>
      </w:r>
      <w:proofErr w:type="gramStart"/>
      <w:r>
        <w:t>Кредити и гаранције за ризичне пројекте ће бити доступни преко кредита Европске инвестиционе банке и Европског инвестиционог фонда, и кроз улагање капитала у раним фазама, а раст ће бити подржан кроз капиталне објекте.</w:t>
      </w:r>
      <w:proofErr w:type="gramEnd"/>
    </w:p>
    <w:p w:rsidR="00723468" w:rsidRDefault="00723468" w:rsidP="00723468">
      <w:pPr>
        <w:pStyle w:val="NormalWeb"/>
        <w:jc w:val="both"/>
        <w:rPr>
          <w:lang w:val="sr-Cyrl-CS"/>
        </w:rPr>
      </w:pPr>
      <w:proofErr w:type="gramStart"/>
      <w:r>
        <w:t xml:space="preserve">Постојаће и </w:t>
      </w:r>
      <w:r>
        <w:rPr>
          <w:rStyle w:val="Emphasis"/>
        </w:rPr>
        <w:t>Fast Track to Innovation</w:t>
      </w:r>
      <w:r>
        <w:t xml:space="preserve"> схема, са стално отвореним позивима, за које је прописано да за најдуже шест месеци одобре средства.</w:t>
      </w:r>
      <w:proofErr w:type="gramEnd"/>
      <w:r>
        <w:t xml:space="preserve"> </w:t>
      </w:r>
      <w:proofErr w:type="gramStart"/>
      <w:r>
        <w:t xml:space="preserve">Ова схема ће бити отворена за све учеснике, али је циљ да привуче мале конзорцијуме са такозваним </w:t>
      </w:r>
      <w:r>
        <w:rPr>
          <w:rStyle w:val="Emphasis"/>
        </w:rPr>
        <w:t>close to market</w:t>
      </w:r>
      <w:r>
        <w:t xml:space="preserve"> пројектима и малим буџетима.</w:t>
      </w:r>
      <w:proofErr w:type="gramEnd"/>
      <w:r>
        <w:t xml:space="preserve"> </w:t>
      </w:r>
      <w:proofErr w:type="gramStart"/>
      <w:r>
        <w:t xml:space="preserve">Циљ је да се убрзају комерцијализација и ширење иновација, време неопходно да настала идеја дође до тржишта и значајно повећања број средњих и малих предузећа, као и кандидата из јавног и непрофитног сектора истраживања, који се први пут пријављују за учешће у </w:t>
      </w:r>
      <w:r>
        <w:rPr>
          <w:rStyle w:val="Emphasis"/>
        </w:rPr>
        <w:t>Хоризонту 2020</w:t>
      </w:r>
      <w:r>
        <w:t>.</w:t>
      </w:r>
      <w:proofErr w:type="gramEnd"/>
      <w:r>
        <w:t xml:space="preserve"> </w:t>
      </w:r>
      <w:proofErr w:type="gramStart"/>
      <w:r>
        <w:t>Предлози ће моћи да се поднесу у било које време, и постојаће три датума сваке године када ће ти пројекти бити оцењивани.</w:t>
      </w:r>
      <w:proofErr w:type="gramEnd"/>
      <w:r>
        <w:t xml:space="preserve"> Пројекти се могу односити на било које области технологије у оквиру другог „стуба“, или Друштвених изазова у оквиру трећег „стуба“. </w:t>
      </w:r>
      <w:proofErr w:type="gramStart"/>
      <w:r>
        <w:t>Нова схема ће бити тестирана током 2015, са пресеком 2017, када ће се одлучити да ли установљени ниво треба да се подигне или прошири.</w:t>
      </w:r>
      <w:proofErr w:type="gramEnd"/>
    </w:p>
    <w:p w:rsidR="00432504" w:rsidRDefault="00432504" w:rsidP="00723468">
      <w:pPr>
        <w:pStyle w:val="Heading4"/>
        <w:jc w:val="both"/>
        <w:rPr>
          <w:rStyle w:val="Strong"/>
          <w:lang w:val="sr-Cyrl-CS"/>
        </w:rPr>
      </w:pPr>
    </w:p>
    <w:p w:rsidR="00432504" w:rsidRDefault="00432504" w:rsidP="00723468">
      <w:pPr>
        <w:pStyle w:val="Heading4"/>
        <w:jc w:val="both"/>
        <w:rPr>
          <w:rStyle w:val="Strong"/>
          <w:lang w:val="sr-Cyrl-CS"/>
        </w:rPr>
      </w:pPr>
    </w:p>
    <w:p w:rsidR="00432504" w:rsidRDefault="00432504" w:rsidP="00723468">
      <w:pPr>
        <w:pStyle w:val="Heading4"/>
        <w:jc w:val="both"/>
        <w:rPr>
          <w:rStyle w:val="Strong"/>
          <w:lang w:val="sr-Cyrl-CS"/>
        </w:rPr>
      </w:pPr>
    </w:p>
    <w:p w:rsidR="00723468" w:rsidRDefault="00723468" w:rsidP="00723468">
      <w:pPr>
        <w:pStyle w:val="Heading4"/>
        <w:jc w:val="both"/>
      </w:pPr>
      <w:proofErr w:type="gramStart"/>
      <w:r>
        <w:rPr>
          <w:rStyle w:val="Strong"/>
        </w:rPr>
        <w:lastRenderedPageBreak/>
        <w:t xml:space="preserve">Шта </w:t>
      </w:r>
      <w:r>
        <w:rPr>
          <w:rStyle w:val="Emphasis"/>
        </w:rPr>
        <w:t>Хоризонт 2020</w:t>
      </w:r>
      <w:r>
        <w:rPr>
          <w:rStyle w:val="Strong"/>
        </w:rPr>
        <w:t xml:space="preserve"> нуди малим и средњим предузећима?</w:t>
      </w:r>
      <w:proofErr w:type="gramEnd"/>
    </w:p>
    <w:p w:rsidR="00723468" w:rsidRDefault="00723468" w:rsidP="00723468">
      <w:pPr>
        <w:pStyle w:val="NormalWeb"/>
        <w:jc w:val="both"/>
      </w:pPr>
      <w:r>
        <w:t>Мала и средња предузећа би требало да приме најмање двадесет одсто од комбинованог буџета „Вођства у индустрији“ из другог „стуба“, и „Друштвених изазова“ из трећег „стуба“.</w:t>
      </w:r>
    </w:p>
    <w:p w:rsidR="00723468" w:rsidRDefault="00723468" w:rsidP="00723468">
      <w:pPr>
        <w:pStyle w:val="NormalWeb"/>
        <w:jc w:val="both"/>
      </w:pPr>
      <w:r>
        <w:t>Стуб 2 – „Вођство у индустрији</w:t>
      </w:r>
      <w:proofErr w:type="gramStart"/>
      <w:r>
        <w:t>“ –</w:t>
      </w:r>
      <w:proofErr w:type="gramEnd"/>
      <w:r>
        <w:t xml:space="preserve"> посвећен је иновацијама малих и средњих предузећа. </w:t>
      </w:r>
      <w:proofErr w:type="gramStart"/>
      <w:r>
        <w:t xml:space="preserve">Иницијатива ће покренути отворене позиве подељене у три фазе: а) концепт и процену изводљивости; б) демонстрација, тржишна репликацију, и </w:t>
      </w:r>
      <w:r>
        <w:rPr>
          <w:rStyle w:val="Emphasis"/>
        </w:rPr>
        <w:t>R&amp;D</w:t>
      </w:r>
      <w:r>
        <w:t>; и в) комерцијализација.</w:t>
      </w:r>
      <w:proofErr w:type="gramEnd"/>
    </w:p>
    <w:p w:rsidR="00723468" w:rsidRDefault="00723468" w:rsidP="00723468">
      <w:pPr>
        <w:pStyle w:val="NormalWeb"/>
        <w:jc w:val="both"/>
      </w:pPr>
      <w:proofErr w:type="gramStart"/>
      <w:r>
        <w:t>Ваучери за иновације ће бити на располагању за финансирање истраживања и иновационих активности у оквиру друге фазе, како би се промовисало покретање и унапређивање истраживачких и иновативних активности у оквиру постојећих малих и средњих предузећа.</w:t>
      </w:r>
      <w:proofErr w:type="gramEnd"/>
    </w:p>
    <w:p w:rsidR="00723468" w:rsidRDefault="00723468" w:rsidP="00723468">
      <w:pPr>
        <w:pStyle w:val="NormalWeb"/>
        <w:jc w:val="both"/>
      </w:pPr>
      <w:r>
        <w:t>Овај програм ће имати свој буџет и менаџмент, који ће добити седам одсто буџета из „Вођства у индустрији“ и „Друштвених изазова“, а укупно ће износити око 2,7 милијарди евра.</w:t>
      </w:r>
    </w:p>
    <w:p w:rsidR="00723468" w:rsidRDefault="00723468" w:rsidP="00723468">
      <w:pPr>
        <w:pStyle w:val="NormalWeb"/>
        <w:jc w:val="both"/>
        <w:rPr>
          <w:lang w:val="sr-Cyrl-CS"/>
        </w:rPr>
      </w:pPr>
      <w:proofErr w:type="gramStart"/>
      <w:r>
        <w:t xml:space="preserve">Поједностављен скуп правила за </w:t>
      </w:r>
      <w:r>
        <w:rPr>
          <w:rStyle w:val="Emphasis"/>
        </w:rPr>
        <w:t>Хоризонт 2020</w:t>
      </w:r>
      <w:r>
        <w:t>, са краћим процедурама, има за циљ да повећа број малих и средњих предузећа која ће учествовати у пројектима.</w:t>
      </w:r>
      <w:proofErr w:type="gramEnd"/>
    </w:p>
    <w:p w:rsidR="00432504" w:rsidRPr="00432504" w:rsidRDefault="00432504" w:rsidP="00432504">
      <w:pPr>
        <w:pStyle w:val="NormalWeb"/>
        <w:jc w:val="both"/>
        <w:rPr>
          <w:b/>
          <w:i/>
          <w:u w:val="single"/>
        </w:rPr>
      </w:pPr>
      <w:r w:rsidRPr="00432504">
        <w:rPr>
          <w:b/>
          <w:i/>
          <w:u w:val="single"/>
        </w:rPr>
        <w:t>Стуб 3 је подељен у седам група:</w:t>
      </w:r>
    </w:p>
    <w:p w:rsidR="00432504" w:rsidRDefault="00432504" w:rsidP="00432504">
      <w:pPr>
        <w:pStyle w:val="NormalWeb"/>
        <w:jc w:val="both"/>
      </w:pPr>
      <w:r>
        <w:t>1</w:t>
      </w:r>
      <w:r w:rsidRPr="008B4680">
        <w:rPr>
          <w:b/>
        </w:rPr>
        <w:t>. Здравље</w:t>
      </w:r>
      <w:r>
        <w:t xml:space="preserve"> – укључује обољења младих и старијих лица; неуродегенеративне, мишићно-скелетне и хроничне болести; миленијумске циљеве развоја, старења и благостање; персонализовану медицину;</w:t>
      </w:r>
    </w:p>
    <w:p w:rsidR="00432504" w:rsidRDefault="00432504" w:rsidP="00432504">
      <w:pPr>
        <w:pStyle w:val="NormalWeb"/>
        <w:jc w:val="both"/>
      </w:pPr>
      <w:r>
        <w:t xml:space="preserve">2. </w:t>
      </w:r>
      <w:r w:rsidRPr="008B4680">
        <w:rPr>
          <w:b/>
        </w:rPr>
        <w:t>Храна</w:t>
      </w:r>
      <w:r>
        <w:t xml:space="preserve"> – укључује и биопривреду; истраживања у шумарству и поморска истраживања;</w:t>
      </w:r>
    </w:p>
    <w:p w:rsidR="00432504" w:rsidRDefault="00432504" w:rsidP="00432504">
      <w:pPr>
        <w:pStyle w:val="NormalWeb"/>
        <w:jc w:val="both"/>
      </w:pPr>
      <w:r>
        <w:t xml:space="preserve">3. </w:t>
      </w:r>
      <w:r w:rsidRPr="008B4680">
        <w:rPr>
          <w:b/>
        </w:rPr>
        <w:t>Енергија</w:t>
      </w:r>
      <w:r>
        <w:t xml:space="preserve"> – фокусира се на гас, енергетску безбедност, паметне мреже; складиштење енергије; резервне технологије; коришћење угљеника;</w:t>
      </w:r>
    </w:p>
    <w:p w:rsidR="00432504" w:rsidRDefault="00432504" w:rsidP="00432504">
      <w:pPr>
        <w:pStyle w:val="NormalWeb"/>
        <w:jc w:val="both"/>
      </w:pPr>
      <w:r>
        <w:t xml:space="preserve">4. </w:t>
      </w:r>
      <w:r w:rsidRPr="008B4680">
        <w:rPr>
          <w:b/>
        </w:rPr>
        <w:t>Транспорт</w:t>
      </w:r>
      <w:r>
        <w:t xml:space="preserve"> – укључује мобилност и логистику;</w:t>
      </w:r>
    </w:p>
    <w:p w:rsidR="00432504" w:rsidRDefault="00432504" w:rsidP="00432504">
      <w:pPr>
        <w:pStyle w:val="NormalWeb"/>
        <w:jc w:val="both"/>
      </w:pPr>
      <w:r>
        <w:t xml:space="preserve">5. </w:t>
      </w:r>
      <w:r w:rsidRPr="008B4680">
        <w:rPr>
          <w:b/>
        </w:rPr>
        <w:t xml:space="preserve">Клима </w:t>
      </w:r>
      <w:r>
        <w:t>– укључује менаџмент воде, биодиверзитет, сировине, екоиновације;</w:t>
      </w:r>
    </w:p>
    <w:p w:rsidR="00432504" w:rsidRDefault="00432504" w:rsidP="00432504">
      <w:pPr>
        <w:pStyle w:val="NormalWeb"/>
        <w:jc w:val="both"/>
      </w:pPr>
      <w:r>
        <w:t xml:space="preserve">6. </w:t>
      </w:r>
      <w:r w:rsidRPr="008B4680">
        <w:rPr>
          <w:b/>
        </w:rPr>
        <w:t>Друштва</w:t>
      </w:r>
      <w:r>
        <w:t xml:space="preserve"> – укључује демографију; друштвене и хуманистичке науке и иновације, културно наслеђе и европски идентитет;</w:t>
      </w:r>
    </w:p>
    <w:p w:rsidR="00432504" w:rsidRDefault="00432504" w:rsidP="00432504">
      <w:pPr>
        <w:pStyle w:val="NormalWeb"/>
        <w:jc w:val="both"/>
      </w:pPr>
      <w:r>
        <w:t xml:space="preserve">7. </w:t>
      </w:r>
      <w:r w:rsidRPr="008B4680">
        <w:rPr>
          <w:b/>
        </w:rPr>
        <w:t>Безбедност</w:t>
      </w:r>
      <w:r>
        <w:t xml:space="preserve"> – нова област истраживања која ће обухватити борбу против криминала; илегалну трговину и тероризам, заштиту критичне инфраструктуре; управљање границама, отпорност на кризу и катастрофу; приватност на интернету; спољну политику ЕУ; спречавање конфликата; и изградњу мира.</w:t>
      </w:r>
    </w:p>
    <w:p w:rsidR="00432504" w:rsidRPr="00432504" w:rsidRDefault="00432504" w:rsidP="00723468">
      <w:pPr>
        <w:pStyle w:val="NormalWeb"/>
        <w:jc w:val="both"/>
        <w:rPr>
          <w:lang w:val="sr-Cyrl-CS"/>
        </w:rPr>
      </w:pPr>
    </w:p>
    <w:p w:rsidR="00723468" w:rsidRDefault="00723468" w:rsidP="00723468">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723468">
        <w:rPr>
          <w:rFonts w:ascii="Times New Roman" w:eastAsia="Times New Roman" w:hAnsi="Times New Roman" w:cs="Times New Roman"/>
          <w:sz w:val="24"/>
          <w:szCs w:val="24"/>
        </w:rPr>
        <w:lastRenderedPageBreak/>
        <w:drawing>
          <wp:inline distT="0" distB="0" distL="0" distR="0">
            <wp:extent cx="4863246" cy="2981325"/>
            <wp:effectExtent l="19050" t="0" r="0" b="0"/>
            <wp:docPr id="1" name="Picture 1" descr="http://mtt.gov.rs/wp-content/uploads/2014/01/Prioriteti-H202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t.gov.rs/wp-content/uploads/2014/01/Prioriteti-H2020.png">
                      <a:hlinkClick r:id="rId8"/>
                    </pic:cNvPr>
                    <pic:cNvPicPr>
                      <a:picLocks noChangeAspect="1" noChangeArrowheads="1"/>
                    </pic:cNvPicPr>
                  </pic:nvPicPr>
                  <pic:blipFill>
                    <a:blip r:embed="rId9"/>
                    <a:srcRect/>
                    <a:stretch>
                      <a:fillRect/>
                    </a:stretch>
                  </pic:blipFill>
                  <pic:spPr bwMode="auto">
                    <a:xfrm>
                      <a:off x="0" y="0"/>
                      <a:ext cx="4867275" cy="2983795"/>
                    </a:xfrm>
                    <a:prstGeom prst="rect">
                      <a:avLst/>
                    </a:prstGeom>
                    <a:noFill/>
                    <a:ln w="9525">
                      <a:noFill/>
                      <a:miter lim="800000"/>
                      <a:headEnd/>
                      <a:tailEnd/>
                    </a:ln>
                  </pic:spPr>
                </pic:pic>
              </a:graphicData>
            </a:graphic>
          </wp:inline>
        </w:drawing>
      </w:r>
    </w:p>
    <w:p w:rsidR="00432504" w:rsidRPr="00432504" w:rsidRDefault="00432504" w:rsidP="00432504">
      <w:pPr>
        <w:spacing w:before="100" w:beforeAutospacing="1" w:after="100" w:afterAutospacing="1" w:line="240" w:lineRule="auto"/>
        <w:rPr>
          <w:rFonts w:ascii="Times New Roman" w:eastAsia="Times New Roman" w:hAnsi="Times New Roman" w:cs="Times New Roman"/>
          <w:sz w:val="24"/>
          <w:szCs w:val="24"/>
          <w:lang w:val="sr-Cyrl-CS"/>
        </w:rPr>
      </w:pPr>
    </w:p>
    <w:p w:rsidR="00723468" w:rsidRPr="008B4680" w:rsidRDefault="00723468" w:rsidP="00723468">
      <w:pPr>
        <w:spacing w:before="100" w:beforeAutospacing="1" w:after="100" w:afterAutospacing="1" w:line="240" w:lineRule="auto"/>
        <w:outlineLvl w:val="3"/>
        <w:rPr>
          <w:rFonts w:ascii="Times New Roman" w:eastAsia="Times New Roman" w:hAnsi="Times New Roman" w:cs="Times New Roman"/>
          <w:b/>
          <w:bCs/>
          <w:sz w:val="28"/>
          <w:szCs w:val="28"/>
        </w:rPr>
      </w:pPr>
      <w:proofErr w:type="gramStart"/>
      <w:r w:rsidRPr="008B4680">
        <w:rPr>
          <w:rFonts w:ascii="Times New Roman" w:eastAsia="Times New Roman" w:hAnsi="Times New Roman" w:cs="Times New Roman"/>
          <w:b/>
          <w:bCs/>
          <w:sz w:val="28"/>
          <w:szCs w:val="28"/>
        </w:rPr>
        <w:t>Како обезбедити новац?</w:t>
      </w:r>
      <w:proofErr w:type="gramEnd"/>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r w:rsidRPr="0094387F">
        <w:rPr>
          <w:rFonts w:ascii="Times New Roman" w:eastAsia="Times New Roman" w:hAnsi="Times New Roman" w:cs="Times New Roman"/>
          <w:sz w:val="24"/>
          <w:szCs w:val="24"/>
        </w:rPr>
        <w:t xml:space="preserve">Иако план седмогодишњег буџета ЕУ за 2014-2020, </w:t>
      </w:r>
      <w:r w:rsidRPr="0094387F">
        <w:rPr>
          <w:rFonts w:ascii="Times New Roman" w:eastAsia="Times New Roman" w:hAnsi="Times New Roman" w:cs="Times New Roman"/>
          <w:i/>
          <w:iCs/>
          <w:sz w:val="24"/>
          <w:szCs w:val="24"/>
        </w:rPr>
        <w:t>Multiannual Financial Framework (MFF)</w:t>
      </w:r>
      <w:r w:rsidRPr="0094387F">
        <w:rPr>
          <w:rFonts w:ascii="Times New Roman" w:eastAsia="Times New Roman" w:hAnsi="Times New Roman" w:cs="Times New Roman"/>
          <w:sz w:val="24"/>
          <w:szCs w:val="24"/>
        </w:rPr>
        <w:t xml:space="preserve">, још није окончан, процењује се да ће </w:t>
      </w:r>
      <w:r w:rsidRPr="0094387F">
        <w:rPr>
          <w:rFonts w:ascii="Times New Roman" w:eastAsia="Times New Roman" w:hAnsi="Times New Roman" w:cs="Times New Roman"/>
          <w:i/>
          <w:iCs/>
          <w:sz w:val="24"/>
          <w:szCs w:val="24"/>
        </w:rPr>
        <w:t>Horizon 2020</w:t>
      </w:r>
      <w:r w:rsidRPr="0094387F">
        <w:rPr>
          <w:rFonts w:ascii="Times New Roman" w:eastAsia="Times New Roman" w:hAnsi="Times New Roman" w:cs="Times New Roman"/>
          <w:sz w:val="24"/>
          <w:szCs w:val="24"/>
        </w:rPr>
        <w:t xml:space="preserve"> (који укључује и </w:t>
      </w:r>
      <w:r w:rsidRPr="0094387F">
        <w:rPr>
          <w:rFonts w:ascii="Times New Roman" w:eastAsia="Times New Roman" w:hAnsi="Times New Roman" w:cs="Times New Roman"/>
          <w:i/>
          <w:iCs/>
          <w:sz w:val="24"/>
          <w:szCs w:val="24"/>
        </w:rPr>
        <w:t>Euratom</w:t>
      </w:r>
      <w:r w:rsidRPr="0094387F">
        <w:rPr>
          <w:rFonts w:ascii="Times New Roman" w:eastAsia="Times New Roman" w:hAnsi="Times New Roman" w:cs="Times New Roman"/>
          <w:sz w:val="24"/>
          <w:szCs w:val="24"/>
        </w:rPr>
        <w:t xml:space="preserve">, нуклеарни истраживачки програм) добити 70,2 милијарде евра. </w:t>
      </w:r>
      <w:proofErr w:type="gramStart"/>
      <w:r w:rsidRPr="0094387F">
        <w:rPr>
          <w:rFonts w:ascii="Times New Roman" w:eastAsia="Times New Roman" w:hAnsi="Times New Roman" w:cs="Times New Roman"/>
          <w:sz w:val="24"/>
          <w:szCs w:val="24"/>
        </w:rPr>
        <w:t xml:space="preserve">Одређени проценат буџета је додељен сваком програму, а о коначном износу ће одлучити </w:t>
      </w:r>
      <w:r w:rsidRPr="0094387F">
        <w:rPr>
          <w:rFonts w:ascii="Times New Roman" w:eastAsia="Times New Roman" w:hAnsi="Times New Roman" w:cs="Times New Roman"/>
          <w:i/>
          <w:iCs/>
          <w:sz w:val="24"/>
          <w:szCs w:val="24"/>
        </w:rPr>
        <w:t>MFF</w:t>
      </w:r>
      <w:r w:rsidRPr="0094387F">
        <w:rPr>
          <w:rFonts w:ascii="Times New Roman" w:eastAsia="Times New Roman" w:hAnsi="Times New Roman" w:cs="Times New Roman"/>
          <w:sz w:val="24"/>
          <w:szCs w:val="24"/>
        </w:rPr>
        <w:t>.</w:t>
      </w:r>
      <w:proofErr w:type="gramEnd"/>
      <w:r w:rsidRPr="0094387F">
        <w:rPr>
          <w:rFonts w:ascii="Times New Roman" w:eastAsia="Times New Roman" w:hAnsi="Times New Roman" w:cs="Times New Roman"/>
          <w:sz w:val="24"/>
          <w:szCs w:val="24"/>
        </w:rPr>
        <w:t> </w:t>
      </w:r>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387F">
        <w:rPr>
          <w:rFonts w:ascii="Times New Roman" w:eastAsia="Times New Roman" w:hAnsi="Times New Roman" w:cs="Times New Roman"/>
          <w:i/>
          <w:iCs/>
          <w:sz w:val="24"/>
          <w:szCs w:val="24"/>
        </w:rPr>
        <w:t>Euratom</w:t>
      </w:r>
      <w:proofErr w:type="gramEnd"/>
      <w:r w:rsidRPr="0094387F">
        <w:rPr>
          <w:rFonts w:ascii="Times New Roman" w:eastAsia="Times New Roman" w:hAnsi="Times New Roman" w:cs="Times New Roman"/>
          <w:sz w:val="24"/>
          <w:szCs w:val="24"/>
        </w:rPr>
        <w:t xml:space="preserve"> ће добити око 2101 милијарду евра.</w:t>
      </w:r>
    </w:p>
    <w:p w:rsidR="00723468" w:rsidRDefault="00723468" w:rsidP="00723468">
      <w:pPr>
        <w:spacing w:before="100" w:beforeAutospacing="1" w:after="100" w:afterAutospacing="1" w:line="240" w:lineRule="auto"/>
        <w:jc w:val="both"/>
        <w:rPr>
          <w:rFonts w:ascii="Times New Roman" w:eastAsia="Times New Roman" w:hAnsi="Times New Roman" w:cs="Times New Roman"/>
          <w:sz w:val="24"/>
          <w:szCs w:val="24"/>
          <w:lang w:val="sr-Cyrl-CS"/>
        </w:rPr>
      </w:pPr>
      <w:r w:rsidRPr="0094387F">
        <w:rPr>
          <w:rFonts w:ascii="Times New Roman" w:eastAsia="Times New Roman" w:hAnsi="Times New Roman" w:cs="Times New Roman"/>
          <w:sz w:val="24"/>
          <w:szCs w:val="24"/>
        </w:rPr>
        <w:t>Европски институт за иновације и технологију ће добити око 2</w:t>
      </w:r>
      <w:proofErr w:type="gramStart"/>
      <w:r w:rsidRPr="0094387F">
        <w:rPr>
          <w:rFonts w:ascii="Times New Roman" w:eastAsia="Times New Roman" w:hAnsi="Times New Roman" w:cs="Times New Roman"/>
          <w:sz w:val="24"/>
          <w:szCs w:val="24"/>
        </w:rPr>
        <w:t>,5</w:t>
      </w:r>
      <w:proofErr w:type="gramEnd"/>
      <w:r w:rsidRPr="0094387F">
        <w:rPr>
          <w:rFonts w:ascii="Times New Roman" w:eastAsia="Times New Roman" w:hAnsi="Times New Roman" w:cs="Times New Roman"/>
          <w:sz w:val="24"/>
          <w:szCs w:val="24"/>
        </w:rPr>
        <w:t xml:space="preserve"> милијарди евра како би финансирао постојеће „Заједнице знања и иновација“ (</w:t>
      </w:r>
      <w:r w:rsidRPr="0094387F">
        <w:rPr>
          <w:rFonts w:ascii="Times New Roman" w:eastAsia="Times New Roman" w:hAnsi="Times New Roman" w:cs="Times New Roman"/>
          <w:i/>
          <w:iCs/>
          <w:sz w:val="24"/>
          <w:szCs w:val="24"/>
        </w:rPr>
        <w:t>Knowledge and Innovation Communities, KICs</w:t>
      </w:r>
      <w:r w:rsidRPr="0094387F">
        <w:rPr>
          <w:rFonts w:ascii="Times New Roman" w:eastAsia="Times New Roman" w:hAnsi="Times New Roman" w:cs="Times New Roman"/>
          <w:sz w:val="24"/>
          <w:szCs w:val="24"/>
        </w:rPr>
        <w:t>) и формирање пет нових. Две, које ће радити на програмима „Здрав живот</w:t>
      </w:r>
      <w:proofErr w:type="gramStart"/>
      <w:r w:rsidRPr="0094387F">
        <w:rPr>
          <w:rFonts w:ascii="Times New Roman" w:eastAsia="Times New Roman" w:hAnsi="Times New Roman" w:cs="Times New Roman"/>
          <w:sz w:val="24"/>
          <w:szCs w:val="24"/>
        </w:rPr>
        <w:t>“ (</w:t>
      </w:r>
      <w:proofErr w:type="gramEnd"/>
      <w:r w:rsidRPr="0094387F">
        <w:rPr>
          <w:rFonts w:ascii="Times New Roman" w:eastAsia="Times New Roman" w:hAnsi="Times New Roman" w:cs="Times New Roman"/>
          <w:i/>
          <w:iCs/>
          <w:sz w:val="24"/>
          <w:szCs w:val="24"/>
        </w:rPr>
        <w:t>Healthy Living</w:t>
      </w:r>
      <w:r w:rsidRPr="0094387F">
        <w:rPr>
          <w:rFonts w:ascii="Times New Roman" w:eastAsia="Times New Roman" w:hAnsi="Times New Roman" w:cs="Times New Roman"/>
          <w:sz w:val="24"/>
          <w:szCs w:val="24"/>
        </w:rPr>
        <w:t>) и „Сирови материјали “ (</w:t>
      </w:r>
      <w:r w:rsidRPr="0094387F">
        <w:rPr>
          <w:rFonts w:ascii="Times New Roman" w:eastAsia="Times New Roman" w:hAnsi="Times New Roman" w:cs="Times New Roman"/>
          <w:i/>
          <w:iCs/>
          <w:sz w:val="24"/>
          <w:szCs w:val="24"/>
        </w:rPr>
        <w:t>Raw Materials</w:t>
      </w:r>
      <w:r w:rsidRPr="0094387F">
        <w:rPr>
          <w:rFonts w:ascii="Times New Roman" w:eastAsia="Times New Roman" w:hAnsi="Times New Roman" w:cs="Times New Roman"/>
          <w:sz w:val="24"/>
          <w:szCs w:val="24"/>
        </w:rPr>
        <w:t>), започеће са радом 2014, две које ће се бавити „Храном и производњом“ (</w:t>
      </w:r>
      <w:r w:rsidRPr="0094387F">
        <w:rPr>
          <w:rFonts w:ascii="Times New Roman" w:eastAsia="Times New Roman" w:hAnsi="Times New Roman" w:cs="Times New Roman"/>
          <w:i/>
          <w:iCs/>
          <w:sz w:val="24"/>
          <w:szCs w:val="24"/>
        </w:rPr>
        <w:t>Food and Manufacturing</w:t>
      </w:r>
      <w:r w:rsidRPr="0094387F">
        <w:rPr>
          <w:rFonts w:ascii="Times New Roman" w:eastAsia="Times New Roman" w:hAnsi="Times New Roman" w:cs="Times New Roman"/>
          <w:sz w:val="24"/>
          <w:szCs w:val="24"/>
        </w:rPr>
        <w:t>) почеће са радом 2016, а последња међу њима, са темом „Урбане мобилности“ (</w:t>
      </w:r>
      <w:r w:rsidRPr="0094387F">
        <w:rPr>
          <w:rFonts w:ascii="Times New Roman" w:eastAsia="Times New Roman" w:hAnsi="Times New Roman" w:cs="Times New Roman"/>
          <w:i/>
          <w:iCs/>
          <w:sz w:val="24"/>
          <w:szCs w:val="24"/>
        </w:rPr>
        <w:t>Urban Mobility</w:t>
      </w:r>
      <w:r w:rsidRPr="0094387F">
        <w:rPr>
          <w:rFonts w:ascii="Times New Roman" w:eastAsia="Times New Roman" w:hAnsi="Times New Roman" w:cs="Times New Roman"/>
          <w:sz w:val="24"/>
          <w:szCs w:val="24"/>
        </w:rPr>
        <w:t xml:space="preserve">), почиње 2018. </w:t>
      </w:r>
      <w:proofErr w:type="gramStart"/>
      <w:r w:rsidRPr="0094387F">
        <w:rPr>
          <w:rFonts w:ascii="Times New Roman" w:eastAsia="Times New Roman" w:hAnsi="Times New Roman" w:cs="Times New Roman"/>
          <w:sz w:val="24"/>
          <w:szCs w:val="24"/>
        </w:rPr>
        <w:t>године</w:t>
      </w:r>
      <w:proofErr w:type="gramEnd"/>
      <w:r w:rsidRPr="0094387F">
        <w:rPr>
          <w:rFonts w:ascii="Times New Roman" w:eastAsia="Times New Roman" w:hAnsi="Times New Roman" w:cs="Times New Roman"/>
          <w:sz w:val="24"/>
          <w:szCs w:val="24"/>
        </w:rPr>
        <w:t>.</w:t>
      </w:r>
    </w:p>
    <w:p w:rsidR="00723468" w:rsidRPr="008B4680" w:rsidRDefault="00723468" w:rsidP="00723468">
      <w:pPr>
        <w:spacing w:before="100" w:beforeAutospacing="1" w:after="100" w:afterAutospacing="1" w:line="240" w:lineRule="auto"/>
        <w:outlineLvl w:val="3"/>
        <w:rPr>
          <w:rFonts w:ascii="Times New Roman" w:eastAsia="Times New Roman" w:hAnsi="Times New Roman" w:cs="Times New Roman"/>
          <w:b/>
          <w:bCs/>
          <w:sz w:val="28"/>
          <w:szCs w:val="28"/>
        </w:rPr>
      </w:pPr>
      <w:proofErr w:type="gramStart"/>
      <w:r w:rsidRPr="008B4680">
        <w:rPr>
          <w:rFonts w:ascii="Times New Roman" w:eastAsia="Times New Roman" w:hAnsi="Times New Roman" w:cs="Times New Roman"/>
          <w:b/>
          <w:bCs/>
          <w:sz w:val="28"/>
          <w:szCs w:val="28"/>
        </w:rPr>
        <w:t xml:space="preserve">Шта се променило у односу на </w:t>
      </w:r>
      <w:r w:rsidRPr="008B4680">
        <w:rPr>
          <w:rFonts w:ascii="Times New Roman" w:eastAsia="Times New Roman" w:hAnsi="Times New Roman" w:cs="Times New Roman"/>
          <w:b/>
          <w:bCs/>
          <w:i/>
          <w:iCs/>
          <w:sz w:val="28"/>
          <w:szCs w:val="28"/>
        </w:rPr>
        <w:t>FP7</w:t>
      </w:r>
      <w:r w:rsidRPr="008B4680">
        <w:rPr>
          <w:rFonts w:ascii="Times New Roman" w:eastAsia="Times New Roman" w:hAnsi="Times New Roman" w:cs="Times New Roman"/>
          <w:b/>
          <w:bCs/>
          <w:sz w:val="28"/>
          <w:szCs w:val="28"/>
        </w:rPr>
        <w:t>?</w:t>
      </w:r>
      <w:proofErr w:type="gramEnd"/>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r w:rsidRPr="0094387F">
        <w:rPr>
          <w:rFonts w:ascii="Times New Roman" w:eastAsia="Times New Roman" w:hAnsi="Times New Roman" w:cs="Times New Roman"/>
          <w:i/>
          <w:iCs/>
          <w:sz w:val="24"/>
          <w:szCs w:val="24"/>
        </w:rPr>
        <w:t xml:space="preserve">Хоризонт 2020 </w:t>
      </w:r>
      <w:r w:rsidRPr="0094387F">
        <w:rPr>
          <w:rFonts w:ascii="Times New Roman" w:eastAsia="Times New Roman" w:hAnsi="Times New Roman" w:cs="Times New Roman"/>
          <w:sz w:val="24"/>
          <w:szCs w:val="24"/>
        </w:rPr>
        <w:t>обједињује три претходно одвојене иницијативе – Оквирни програм 7 (</w:t>
      </w:r>
      <w:r w:rsidRPr="0094387F">
        <w:rPr>
          <w:rFonts w:ascii="Times New Roman" w:eastAsia="Times New Roman" w:hAnsi="Times New Roman" w:cs="Times New Roman"/>
          <w:i/>
          <w:iCs/>
          <w:sz w:val="24"/>
          <w:szCs w:val="24"/>
        </w:rPr>
        <w:t>FP7</w:t>
      </w:r>
      <w:r w:rsidRPr="0094387F">
        <w:rPr>
          <w:rFonts w:ascii="Times New Roman" w:eastAsia="Times New Roman" w:hAnsi="Times New Roman" w:cs="Times New Roman"/>
          <w:sz w:val="24"/>
          <w:szCs w:val="24"/>
        </w:rPr>
        <w:t>), новине у вези са програмом „Конкурентност и иновације</w:t>
      </w:r>
      <w:proofErr w:type="gramStart"/>
      <w:r w:rsidRPr="0094387F">
        <w:rPr>
          <w:rFonts w:ascii="Times New Roman" w:eastAsia="Times New Roman" w:hAnsi="Times New Roman" w:cs="Times New Roman"/>
          <w:sz w:val="24"/>
          <w:szCs w:val="24"/>
        </w:rPr>
        <w:t>“ (</w:t>
      </w:r>
      <w:proofErr w:type="gramEnd"/>
      <w:r w:rsidRPr="0094387F">
        <w:rPr>
          <w:rFonts w:ascii="Times New Roman" w:eastAsia="Times New Roman" w:hAnsi="Times New Roman" w:cs="Times New Roman"/>
          <w:i/>
          <w:iCs/>
          <w:sz w:val="24"/>
          <w:szCs w:val="24"/>
        </w:rPr>
        <w:t>CIP</w:t>
      </w:r>
      <w:r w:rsidRPr="0094387F">
        <w:rPr>
          <w:rFonts w:ascii="Times New Roman" w:eastAsia="Times New Roman" w:hAnsi="Times New Roman" w:cs="Times New Roman"/>
          <w:sz w:val="24"/>
          <w:szCs w:val="24"/>
        </w:rPr>
        <w:t>) и доприносе Европске уније Европском институту за иновације и технологију (</w:t>
      </w:r>
      <w:r w:rsidRPr="0094387F">
        <w:rPr>
          <w:rFonts w:ascii="Times New Roman" w:eastAsia="Times New Roman" w:hAnsi="Times New Roman" w:cs="Times New Roman"/>
          <w:i/>
          <w:iCs/>
          <w:sz w:val="24"/>
          <w:szCs w:val="24"/>
        </w:rPr>
        <w:t>EIT</w:t>
      </w:r>
      <w:r w:rsidRPr="0094387F">
        <w:rPr>
          <w:rFonts w:ascii="Times New Roman" w:eastAsia="Times New Roman" w:hAnsi="Times New Roman" w:cs="Times New Roman"/>
          <w:sz w:val="24"/>
          <w:szCs w:val="24"/>
        </w:rPr>
        <w:t>).</w:t>
      </w:r>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387F">
        <w:rPr>
          <w:rFonts w:ascii="Times New Roman" w:eastAsia="Times New Roman" w:hAnsi="Times New Roman" w:cs="Times New Roman"/>
          <w:i/>
          <w:iCs/>
          <w:sz w:val="24"/>
          <w:szCs w:val="24"/>
        </w:rPr>
        <w:t xml:space="preserve">Хоризонт 2020 </w:t>
      </w:r>
      <w:r w:rsidRPr="0094387F">
        <w:rPr>
          <w:rFonts w:ascii="Times New Roman" w:eastAsia="Times New Roman" w:hAnsi="Times New Roman" w:cs="Times New Roman"/>
          <w:sz w:val="24"/>
          <w:szCs w:val="24"/>
        </w:rPr>
        <w:t xml:space="preserve">има за циљ да се, у односу на </w:t>
      </w:r>
      <w:r w:rsidRPr="0094387F">
        <w:rPr>
          <w:rFonts w:ascii="Times New Roman" w:eastAsia="Times New Roman" w:hAnsi="Times New Roman" w:cs="Times New Roman"/>
          <w:i/>
          <w:iCs/>
          <w:sz w:val="24"/>
          <w:szCs w:val="24"/>
        </w:rPr>
        <w:t>FP7</w:t>
      </w:r>
      <w:r w:rsidRPr="0094387F">
        <w:rPr>
          <w:rFonts w:ascii="Times New Roman" w:eastAsia="Times New Roman" w:hAnsi="Times New Roman" w:cs="Times New Roman"/>
          <w:sz w:val="24"/>
          <w:szCs w:val="24"/>
        </w:rPr>
        <w:t>, интензивније фокусира на иновације и активности блиске тржишту.</w:t>
      </w:r>
      <w:proofErr w:type="gramEnd"/>
      <w:r w:rsidRPr="0094387F">
        <w:rPr>
          <w:rFonts w:ascii="Times New Roman" w:eastAsia="Times New Roman" w:hAnsi="Times New Roman" w:cs="Times New Roman"/>
          <w:sz w:val="24"/>
          <w:szCs w:val="24"/>
        </w:rPr>
        <w:t xml:space="preserve"> </w:t>
      </w:r>
      <w:proofErr w:type="gramStart"/>
      <w:r w:rsidRPr="0094387F">
        <w:rPr>
          <w:rFonts w:ascii="Times New Roman" w:eastAsia="Times New Roman" w:hAnsi="Times New Roman" w:cs="Times New Roman"/>
          <w:sz w:val="24"/>
          <w:szCs w:val="24"/>
        </w:rPr>
        <w:t xml:space="preserve">Европски истраживачки савет ће добити више средстава, а такође ће се више пажње посветити подручјима са мање развијеним научним </w:t>
      </w:r>
      <w:r w:rsidRPr="0094387F">
        <w:rPr>
          <w:rFonts w:ascii="Times New Roman" w:eastAsia="Times New Roman" w:hAnsi="Times New Roman" w:cs="Times New Roman"/>
          <w:sz w:val="24"/>
          <w:szCs w:val="24"/>
        </w:rPr>
        <w:lastRenderedPageBreak/>
        <w:t>инфраструктурама и малим и средњим предузећима.</w:t>
      </w:r>
      <w:proofErr w:type="gramEnd"/>
      <w:r w:rsidRPr="0094387F">
        <w:rPr>
          <w:rFonts w:ascii="Times New Roman" w:eastAsia="Times New Roman" w:hAnsi="Times New Roman" w:cs="Times New Roman"/>
          <w:sz w:val="24"/>
          <w:szCs w:val="24"/>
        </w:rPr>
        <w:t xml:space="preserve"> </w:t>
      </w:r>
      <w:proofErr w:type="gramStart"/>
      <w:r w:rsidRPr="0094387F">
        <w:rPr>
          <w:rFonts w:ascii="Times New Roman" w:eastAsia="Times New Roman" w:hAnsi="Times New Roman" w:cs="Times New Roman"/>
          <w:sz w:val="24"/>
          <w:szCs w:val="24"/>
        </w:rPr>
        <w:t>Планирано је и да се прошири њихово учешће.</w:t>
      </w:r>
      <w:proofErr w:type="gramEnd"/>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387F">
        <w:rPr>
          <w:rFonts w:ascii="Times New Roman" w:eastAsia="Times New Roman" w:hAnsi="Times New Roman" w:cs="Times New Roman"/>
          <w:sz w:val="24"/>
          <w:szCs w:val="24"/>
        </w:rPr>
        <w:t xml:space="preserve">Највећи део буџета </w:t>
      </w:r>
      <w:r w:rsidRPr="0094387F">
        <w:rPr>
          <w:rFonts w:ascii="Times New Roman" w:eastAsia="Times New Roman" w:hAnsi="Times New Roman" w:cs="Times New Roman"/>
          <w:i/>
          <w:iCs/>
          <w:sz w:val="24"/>
          <w:szCs w:val="24"/>
        </w:rPr>
        <w:t>Хоризонта 2020</w:t>
      </w:r>
      <w:r w:rsidRPr="0094387F">
        <w:rPr>
          <w:rFonts w:ascii="Times New Roman" w:eastAsia="Times New Roman" w:hAnsi="Times New Roman" w:cs="Times New Roman"/>
          <w:sz w:val="24"/>
          <w:szCs w:val="24"/>
        </w:rPr>
        <w:t>, скоро четрдесет одсто, одлази на истраживање такозваних Великих изазова (</w:t>
      </w:r>
      <w:r w:rsidRPr="0094387F">
        <w:rPr>
          <w:rFonts w:ascii="Times New Roman" w:eastAsia="Times New Roman" w:hAnsi="Times New Roman" w:cs="Times New Roman"/>
          <w:i/>
          <w:iCs/>
          <w:sz w:val="24"/>
          <w:szCs w:val="24"/>
        </w:rPr>
        <w:t>Grand Challenges</w:t>
      </w:r>
      <w:r w:rsidRPr="0094387F">
        <w:rPr>
          <w:rFonts w:ascii="Times New Roman" w:eastAsia="Times New Roman" w:hAnsi="Times New Roman" w:cs="Times New Roman"/>
          <w:sz w:val="24"/>
          <w:szCs w:val="24"/>
        </w:rPr>
        <w:t>), који укључују здравство и климатске промене.</w:t>
      </w:r>
      <w:proofErr w:type="gramEnd"/>
      <w:r w:rsidRPr="0094387F">
        <w:rPr>
          <w:rFonts w:ascii="Times New Roman" w:eastAsia="Times New Roman" w:hAnsi="Times New Roman" w:cs="Times New Roman"/>
          <w:sz w:val="24"/>
          <w:szCs w:val="24"/>
        </w:rPr>
        <w:t xml:space="preserve"> </w:t>
      </w:r>
      <w:proofErr w:type="gramStart"/>
      <w:r w:rsidRPr="0094387F">
        <w:rPr>
          <w:rFonts w:ascii="Times New Roman" w:eastAsia="Times New Roman" w:hAnsi="Times New Roman" w:cs="Times New Roman"/>
          <w:sz w:val="24"/>
          <w:szCs w:val="24"/>
        </w:rPr>
        <w:t>Постоји обећање да ће поједностављена структура програма, један сет правила, и поједностављен модел накнада окончати бирократију која је у прошлости одвраћала индустрију од учешћа у претходним програмима за истраживање и развој Европске уније.</w:t>
      </w:r>
      <w:proofErr w:type="gramEnd"/>
    </w:p>
    <w:p w:rsidR="00723468" w:rsidRPr="0094387F" w:rsidRDefault="00723468" w:rsidP="0072346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387F">
        <w:rPr>
          <w:rFonts w:ascii="Times New Roman" w:eastAsia="Times New Roman" w:hAnsi="Times New Roman" w:cs="Times New Roman"/>
          <w:sz w:val="24"/>
          <w:szCs w:val="24"/>
        </w:rPr>
        <w:t xml:space="preserve">Отворен приступ ће бити обавезан за све објављене радове које финансира </w:t>
      </w:r>
      <w:r w:rsidRPr="0094387F">
        <w:rPr>
          <w:rFonts w:ascii="Times New Roman" w:eastAsia="Times New Roman" w:hAnsi="Times New Roman" w:cs="Times New Roman"/>
          <w:i/>
          <w:iCs/>
          <w:sz w:val="24"/>
          <w:szCs w:val="24"/>
        </w:rPr>
        <w:t>Хоризонт 2020</w:t>
      </w:r>
      <w:r w:rsidRPr="0094387F">
        <w:rPr>
          <w:rFonts w:ascii="Times New Roman" w:eastAsia="Times New Roman" w:hAnsi="Times New Roman" w:cs="Times New Roman"/>
          <w:sz w:val="24"/>
          <w:szCs w:val="24"/>
        </w:rPr>
        <w:t>.</w:t>
      </w:r>
      <w:proofErr w:type="gramEnd"/>
      <w:r w:rsidRPr="0094387F">
        <w:rPr>
          <w:rFonts w:ascii="Times New Roman" w:eastAsia="Times New Roman" w:hAnsi="Times New Roman" w:cs="Times New Roman"/>
          <w:sz w:val="24"/>
          <w:szCs w:val="24"/>
        </w:rPr>
        <w:t xml:space="preserve">  </w:t>
      </w:r>
      <w:proofErr w:type="gramStart"/>
      <w:r w:rsidRPr="0094387F">
        <w:rPr>
          <w:rFonts w:ascii="Times New Roman" w:eastAsia="Times New Roman" w:hAnsi="Times New Roman" w:cs="Times New Roman"/>
          <w:sz w:val="24"/>
          <w:szCs w:val="24"/>
        </w:rPr>
        <w:t>Из ЕУ наводе да је то део њиховог напора да промовишу размену и сарадњу међу научницима, како би се избегло дуплирање и како би се генерисао већи повраћај јавних инвестиција.</w:t>
      </w:r>
      <w:proofErr w:type="gramEnd"/>
    </w:p>
    <w:p w:rsidR="00723468" w:rsidRPr="008B4680" w:rsidRDefault="00432504" w:rsidP="00723468">
      <w:pPr>
        <w:spacing w:before="100" w:beforeAutospacing="1" w:after="100" w:afterAutospacing="1" w:line="240" w:lineRule="auto"/>
        <w:jc w:val="both"/>
        <w:rPr>
          <w:rFonts w:ascii="Times New Roman" w:eastAsia="Times New Roman" w:hAnsi="Times New Roman" w:cs="Times New Roman"/>
          <w:b/>
          <w:sz w:val="28"/>
          <w:szCs w:val="28"/>
          <w:u w:val="single"/>
          <w:lang w:val="sr-Cyrl-CS"/>
        </w:rPr>
      </w:pPr>
      <w:r w:rsidRPr="008B4680">
        <w:rPr>
          <w:rFonts w:ascii="Times New Roman" w:eastAsia="Times New Roman" w:hAnsi="Times New Roman" w:cs="Times New Roman"/>
          <w:b/>
          <w:sz w:val="28"/>
          <w:szCs w:val="28"/>
          <w:u w:val="single"/>
          <w:lang w:val="sr-Cyrl-CS"/>
        </w:rPr>
        <w:t>Накнадне стопе</w:t>
      </w:r>
    </w:p>
    <w:p w:rsidR="00432504" w:rsidRDefault="00432504" w:rsidP="00432504">
      <w:pPr>
        <w:pStyle w:val="NormalWeb"/>
        <w:jc w:val="both"/>
      </w:pPr>
      <w:proofErr w:type="gramStart"/>
      <w:r>
        <w:t>Универзитети и истраживачке и технолошке организације ће добити сто одсто оправданих трошкова за све пројекте, као и паушалних двадесет пет одсто за покривање индиректних трошкова.</w:t>
      </w:r>
      <w:proofErr w:type="gramEnd"/>
    </w:p>
    <w:p w:rsidR="00432504" w:rsidRDefault="00432504" w:rsidP="00432504">
      <w:pPr>
        <w:pStyle w:val="NormalWeb"/>
        <w:jc w:val="both"/>
      </w:pPr>
      <w:r>
        <w:t xml:space="preserve">Учесници из области индустрије и малих и средњих предузећа ће добити сто одсто накнаде за прихватљиве трошкове </w:t>
      </w:r>
      <w:r>
        <w:rPr>
          <w:rStyle w:val="Emphasis"/>
        </w:rPr>
        <w:t>R&amp;D</w:t>
      </w:r>
      <w:r>
        <w:t xml:space="preserve"> активности и двадесет пет процената њихових </w:t>
      </w:r>
      <w:proofErr w:type="gramStart"/>
      <w:r>
        <w:t>индиректних</w:t>
      </w:r>
      <w:proofErr w:type="gramEnd"/>
      <w:r>
        <w:t xml:space="preserve"> трошкова, али само седамдесет одсто директних трошкова за </w:t>
      </w:r>
      <w:r>
        <w:rPr>
          <w:rStyle w:val="Emphasis"/>
        </w:rPr>
        <w:t>close to market</w:t>
      </w:r>
      <w:r>
        <w:t xml:space="preserve"> или суфинансиране активности, плус двадесет пет одсто за индиректне трошкове.</w:t>
      </w:r>
    </w:p>
    <w:p w:rsidR="00432504" w:rsidRDefault="00432504" w:rsidP="00432504">
      <w:pPr>
        <w:pStyle w:val="NormalWeb"/>
        <w:jc w:val="both"/>
        <w:rPr>
          <w:lang w:val="sr-Cyrl-CS"/>
        </w:rPr>
      </w:pPr>
      <w:r>
        <w:t xml:space="preserve">Савет је увео бонус систем који омогућава да додатни трошкови буду покривени као прихватљиви директни трошкови за суме до 8000 евра годишње по особи, за оне који раде пуно радно време на пројекту. </w:t>
      </w:r>
      <w:proofErr w:type="gramStart"/>
      <w:r>
        <w:t>Ово ће бити ограничено за јавне институције као што су универзитети и истраживачки центри.</w:t>
      </w:r>
      <w:proofErr w:type="gramEnd"/>
    </w:p>
    <w:p w:rsidR="00432504" w:rsidRPr="008B4680" w:rsidRDefault="00432504" w:rsidP="00432504">
      <w:pPr>
        <w:pStyle w:val="Heading4"/>
        <w:rPr>
          <w:b w:val="0"/>
          <w:sz w:val="28"/>
          <w:szCs w:val="28"/>
          <w:u w:val="single"/>
          <w:lang w:val="sr-Cyrl-CS"/>
        </w:rPr>
      </w:pPr>
      <w:r w:rsidRPr="008B4680">
        <w:rPr>
          <w:rStyle w:val="Strong"/>
          <w:b/>
          <w:sz w:val="28"/>
          <w:szCs w:val="28"/>
          <w:u w:val="single"/>
          <w:lang w:val="sr-Cyrl-CS"/>
        </w:rPr>
        <w:t>И</w:t>
      </w:r>
      <w:r w:rsidRPr="008B4680">
        <w:rPr>
          <w:rStyle w:val="Strong"/>
          <w:b/>
          <w:sz w:val="28"/>
          <w:szCs w:val="28"/>
          <w:u w:val="single"/>
        </w:rPr>
        <w:t>страживачк</w:t>
      </w:r>
      <w:r w:rsidRPr="008B4680">
        <w:rPr>
          <w:rStyle w:val="Strong"/>
          <w:b/>
          <w:sz w:val="28"/>
          <w:szCs w:val="28"/>
          <w:u w:val="single"/>
          <w:lang w:val="sr-Cyrl-CS"/>
        </w:rPr>
        <w:t>е</w:t>
      </w:r>
      <w:r w:rsidRPr="008B4680">
        <w:rPr>
          <w:rStyle w:val="Strong"/>
          <w:b/>
          <w:sz w:val="28"/>
          <w:szCs w:val="28"/>
          <w:u w:val="single"/>
        </w:rPr>
        <w:t xml:space="preserve"> организациј</w:t>
      </w:r>
      <w:r w:rsidRPr="008B4680">
        <w:rPr>
          <w:rStyle w:val="Strong"/>
          <w:b/>
          <w:sz w:val="28"/>
          <w:szCs w:val="28"/>
          <w:u w:val="single"/>
          <w:lang w:val="sr-Cyrl-CS"/>
        </w:rPr>
        <w:t>е</w:t>
      </w:r>
      <w:r w:rsidRPr="008B4680">
        <w:rPr>
          <w:rStyle w:val="Strong"/>
          <w:b/>
          <w:sz w:val="28"/>
          <w:szCs w:val="28"/>
          <w:u w:val="single"/>
        </w:rPr>
        <w:t xml:space="preserve"> са великим инфраструктурама</w:t>
      </w:r>
    </w:p>
    <w:p w:rsidR="00432504" w:rsidRDefault="00432504" w:rsidP="00432504">
      <w:pPr>
        <w:pStyle w:val="NormalWeb"/>
        <w:jc w:val="both"/>
        <w:rPr>
          <w:lang w:val="sr-Cyrl-CS"/>
        </w:rPr>
      </w:pPr>
      <w:proofErr w:type="gramStart"/>
      <w:r>
        <w:t>Универзитети чије је објекте скупо одржавати, као и велике истраживачке организације, током преговора су се снажно успротивили овом пропорционалном систему, јер на тај начин не би покрили своје трошкове.</w:t>
      </w:r>
      <w:proofErr w:type="gramEnd"/>
      <w:r>
        <w:t xml:space="preserve"> </w:t>
      </w:r>
      <w:proofErr w:type="gramStart"/>
      <w:r>
        <w:t>У покушају да реши овај проблем, Комисија је објавила смернице о томе како да овакве велике инфраструктуре неке индиректне трошкове претворе у директне.</w:t>
      </w:r>
      <w:proofErr w:type="gramEnd"/>
      <w:r>
        <w:t xml:space="preserve"> </w:t>
      </w:r>
      <w:proofErr w:type="gramStart"/>
      <w:r>
        <w:t>Ова упутства биће достављена у облику званичног обавештења Комисије.</w:t>
      </w:r>
      <w:proofErr w:type="gramEnd"/>
      <w:r>
        <w:t> </w:t>
      </w:r>
    </w:p>
    <w:p w:rsidR="00432504" w:rsidRPr="008B4680" w:rsidRDefault="00432504" w:rsidP="00432504">
      <w:pPr>
        <w:pStyle w:val="Heading4"/>
        <w:rPr>
          <w:b w:val="0"/>
          <w:sz w:val="28"/>
          <w:szCs w:val="28"/>
          <w:u w:val="single"/>
        </w:rPr>
      </w:pPr>
      <w:proofErr w:type="gramStart"/>
      <w:r w:rsidRPr="008B4680">
        <w:rPr>
          <w:rStyle w:val="Strong"/>
          <w:b/>
          <w:sz w:val="28"/>
          <w:szCs w:val="28"/>
          <w:u w:val="single"/>
        </w:rPr>
        <w:t>Како се могу превазићи разлике које на пољу истраживања и иновација постоје између држава чланица?</w:t>
      </w:r>
      <w:proofErr w:type="gramEnd"/>
    </w:p>
    <w:p w:rsidR="00432504" w:rsidRDefault="00432504" w:rsidP="00432504">
      <w:pPr>
        <w:pStyle w:val="NormalWeb"/>
        <w:jc w:val="both"/>
      </w:pPr>
      <w:r>
        <w:rPr>
          <w:rStyle w:val="Emphasis"/>
        </w:rPr>
        <w:t>Хоризонт 2020</w:t>
      </w:r>
      <w:r>
        <w:rPr>
          <w:rStyle w:val="Strong"/>
        </w:rPr>
        <w:t xml:space="preserve"> </w:t>
      </w:r>
      <w:r>
        <w:t>уводи нову тачку у буџету: „Учешће за проширење“, за коју ће бити издвојено 1</w:t>
      </w:r>
      <w:proofErr w:type="gramStart"/>
      <w:r>
        <w:t>,06</w:t>
      </w:r>
      <w:proofErr w:type="gramEnd"/>
      <w:r>
        <w:t xml:space="preserve"> одсто укупног финансирања. </w:t>
      </w:r>
      <w:proofErr w:type="gramStart"/>
      <w:r>
        <w:t xml:space="preserve">Ово укључује нове активности, као што су тимски рад и братимљење истраживачких институција у мање развијеним регионима са </w:t>
      </w:r>
      <w:r>
        <w:lastRenderedPageBreak/>
        <w:t>добро уходаним колегама, као и успостављање места руководиоца за истраживања у Европи, који би требало да привуче водеће научнике у мање развијене институције.</w:t>
      </w:r>
      <w:proofErr w:type="gramEnd"/>
    </w:p>
    <w:p w:rsidR="00432504" w:rsidRDefault="00432504" w:rsidP="00432504">
      <w:pPr>
        <w:pStyle w:val="NormalWeb"/>
        <w:jc w:val="both"/>
      </w:pPr>
      <w:r>
        <w:t>Истраживачки програм „Марија Склодовска Кири</w:t>
      </w:r>
      <w:proofErr w:type="gramStart"/>
      <w:r>
        <w:t>“ нуди</w:t>
      </w:r>
      <w:proofErr w:type="gramEnd"/>
      <w:r>
        <w:t xml:space="preserve"> повратне грантове како би научнике који су у иностранству привукао у неразвијене регионе.</w:t>
      </w:r>
    </w:p>
    <w:p w:rsidR="00432504" w:rsidRDefault="00432504" w:rsidP="00432504">
      <w:pPr>
        <w:pStyle w:val="NormalWeb"/>
        <w:jc w:val="both"/>
      </w:pPr>
      <w:proofErr w:type="gramStart"/>
      <w:r>
        <w:t xml:space="preserve">Ове мере ће допринети већој синергији програма </w:t>
      </w:r>
      <w:r>
        <w:rPr>
          <w:rStyle w:val="Emphasis"/>
        </w:rPr>
        <w:t>Хоризонт 2020</w:t>
      </w:r>
      <w:r>
        <w:rPr>
          <w:rStyle w:val="Strong"/>
        </w:rPr>
        <w:t xml:space="preserve"> </w:t>
      </w:r>
      <w:r>
        <w:t>са другим финансијским токовима, нарочито структуралног фонда и Европског фонда за развој.</w:t>
      </w:r>
      <w:proofErr w:type="gramEnd"/>
      <w:r>
        <w:t xml:space="preserve"> </w:t>
      </w:r>
      <w:proofErr w:type="gramStart"/>
      <w:r>
        <w:rPr>
          <w:rStyle w:val="Emphasis"/>
        </w:rPr>
        <w:t>Хоризонт 2020</w:t>
      </w:r>
      <w:r>
        <w:rPr>
          <w:rStyle w:val="Strong"/>
        </w:rPr>
        <w:t xml:space="preserve"> </w:t>
      </w:r>
      <w:r>
        <w:t>ће бити доведен у везу са специјализацијама и инвестицијама у оквиру Структуралног фонда.</w:t>
      </w:r>
      <w:proofErr w:type="gramEnd"/>
      <w:r>
        <w:t xml:space="preserve"> </w:t>
      </w:r>
      <w:proofErr w:type="gramStart"/>
      <w:r>
        <w:t>Поједини регионални фондови ће бити намењени за истраживање и развој, и биће могуће прибавити новац из оба извора.</w:t>
      </w:r>
      <w:proofErr w:type="gramEnd"/>
      <w:r>
        <w:t xml:space="preserve"> Структурални фонд може се користити како би се обезбедила опрема, за развој људских ресурса, мале грантове, и додатно финансирање </w:t>
      </w:r>
      <w:r>
        <w:rPr>
          <w:rStyle w:val="Emphasis"/>
        </w:rPr>
        <w:t>ERC</w:t>
      </w:r>
      <w:r>
        <w:t>-а, Програма „Марија Склодовска Кири</w:t>
      </w:r>
      <w:proofErr w:type="gramStart"/>
      <w:r>
        <w:t>“ или</w:t>
      </w:r>
      <w:proofErr w:type="gramEnd"/>
      <w:r>
        <w:t xml:space="preserve"> других заједничких пројеката.</w:t>
      </w:r>
    </w:p>
    <w:p w:rsidR="00432504" w:rsidRDefault="00432504" w:rsidP="00432504">
      <w:pPr>
        <w:pStyle w:val="NormalWeb"/>
        <w:jc w:val="both"/>
      </w:pPr>
      <w:proofErr w:type="gramStart"/>
      <w:r>
        <w:t>Структурaлни фонд такође може да олакша пут производа ка тржишту, тако што ће, на пример, финансирати или суфинансирати развој истраживачких пројеката након програма</w:t>
      </w:r>
      <w:r>
        <w:rPr>
          <w:rStyle w:val="Emphasis"/>
        </w:rPr>
        <w:t xml:space="preserve"> Хоризонт 2020</w:t>
      </w:r>
      <w:r>
        <w:t>.</w:t>
      </w:r>
      <w:proofErr w:type="gramEnd"/>
    </w:p>
    <w:p w:rsidR="00432504" w:rsidRPr="008B4680" w:rsidRDefault="00C80AB6" w:rsidP="00432504">
      <w:pPr>
        <w:pStyle w:val="Heading4"/>
        <w:rPr>
          <w:b w:val="0"/>
          <w:sz w:val="28"/>
          <w:szCs w:val="28"/>
          <w:u w:val="single"/>
          <w:lang w:val="sr-Cyrl-CS"/>
        </w:rPr>
      </w:pPr>
      <w:r w:rsidRPr="008B4680">
        <w:rPr>
          <w:rStyle w:val="Strong"/>
          <w:b/>
          <w:sz w:val="28"/>
          <w:szCs w:val="28"/>
          <w:u w:val="single"/>
          <w:lang w:val="sr-Cyrl-CS"/>
        </w:rPr>
        <w:t>Новине у истраживању енергије</w:t>
      </w:r>
    </w:p>
    <w:p w:rsidR="00432504" w:rsidRDefault="00432504" w:rsidP="00C80AB6">
      <w:pPr>
        <w:pStyle w:val="NormalWeb"/>
        <w:jc w:val="both"/>
      </w:pPr>
      <w:proofErr w:type="gramStart"/>
      <w:r>
        <w:t>Буџет за Социјални изазов бр.</w:t>
      </w:r>
      <w:proofErr w:type="gramEnd"/>
      <w:r>
        <w:t xml:space="preserve"> </w:t>
      </w:r>
      <w:proofErr w:type="gramStart"/>
      <w:r>
        <w:t>три</w:t>
      </w:r>
      <w:proofErr w:type="gramEnd"/>
      <w:r>
        <w:t xml:space="preserve"> – који покрива све аспекте енергије, сем нуклеарне – износи 7,7 одсто од укупног буџета </w:t>
      </w:r>
      <w:r>
        <w:rPr>
          <w:rStyle w:val="Emphasis"/>
        </w:rPr>
        <w:t>Хоризонта 2020</w:t>
      </w:r>
      <w:r>
        <w:t>, или 5,2 милијарде евра. Од тога је 85 одсто намењено за обновљиве изворе енергије, енергетску ефикасност, паметне мреже и складиштење, са око 787 милиона евра намењених за подстицај преузимању тржишта – што би требало да замени Европски програм интелигентне енергије.</w:t>
      </w:r>
    </w:p>
    <w:p w:rsidR="00432504" w:rsidRDefault="00432504" w:rsidP="00C80AB6">
      <w:pPr>
        <w:pStyle w:val="NormalWeb"/>
        <w:jc w:val="both"/>
      </w:pPr>
      <w:proofErr w:type="gramStart"/>
      <w:r>
        <w:t>Преосталих петнаест одсто енергетског буџета ће бити потрошено на истраживање технологија производње фосилних горива, укључујући снимање и складиштење угља.</w:t>
      </w:r>
      <w:proofErr w:type="gramEnd"/>
    </w:p>
    <w:p w:rsidR="00432504" w:rsidRPr="008B4680" w:rsidRDefault="00C80AB6" w:rsidP="00432504">
      <w:pPr>
        <w:pStyle w:val="Heading4"/>
        <w:rPr>
          <w:b w:val="0"/>
          <w:sz w:val="28"/>
          <w:szCs w:val="28"/>
          <w:u w:val="single"/>
          <w:lang w:val="sr-Cyrl-CS"/>
        </w:rPr>
      </w:pPr>
      <w:r w:rsidRPr="008B4680">
        <w:rPr>
          <w:rStyle w:val="Strong"/>
          <w:b/>
          <w:sz w:val="28"/>
          <w:szCs w:val="28"/>
          <w:u w:val="single"/>
          <w:lang w:val="sr-Cyrl-CS"/>
        </w:rPr>
        <w:t>Доступност података истраживања у јавности</w:t>
      </w:r>
    </w:p>
    <w:p w:rsidR="00432504" w:rsidRDefault="00432504" w:rsidP="00C80AB6">
      <w:pPr>
        <w:pStyle w:val="NormalWeb"/>
        <w:jc w:val="both"/>
      </w:pPr>
      <w:proofErr w:type="gramStart"/>
      <w:r>
        <w:t>Отворен приступ подацима је обавезан за све публикације које су резултат истраживања финансираног од стране ЕУ, а трошкови издавања водиће се као оправдани трошкови.</w:t>
      </w:r>
      <w:proofErr w:type="gramEnd"/>
      <w:r>
        <w:t xml:space="preserve"> Обе верзије отвореног приступа, и „Зелена</w:t>
      </w:r>
      <w:proofErr w:type="gramStart"/>
      <w:r>
        <w:t>“ и</w:t>
      </w:r>
      <w:proofErr w:type="gramEnd"/>
      <w:r>
        <w:t xml:space="preserve"> „Златна“, биће прихваћене: „Зелени“ приступ подразумева архивирање објављених чланака на мрежи, често уз период ембарга. „Златна</w:t>
      </w:r>
      <w:proofErr w:type="gramStart"/>
      <w:r>
        <w:t>“ верзија</w:t>
      </w:r>
      <w:proofErr w:type="gramEnd"/>
      <w:r>
        <w:t xml:space="preserve"> отвореног приступа значи да су вам дате информације одмах доступне за објављивање.</w:t>
      </w:r>
    </w:p>
    <w:p w:rsidR="00432504" w:rsidRDefault="00432504" w:rsidP="00C80AB6">
      <w:pPr>
        <w:pStyle w:val="NormalWeb"/>
        <w:jc w:val="both"/>
      </w:pPr>
      <w:proofErr w:type="gramStart"/>
      <w:r>
        <w:t>Отворен приступ подацима ће свакако бити охрабриван, али такође није обавезан, због питања интелектуалне својине и комерцијализације.</w:t>
      </w:r>
      <w:proofErr w:type="gramEnd"/>
    </w:p>
    <w:p w:rsidR="00432504" w:rsidRDefault="00432504" w:rsidP="00C80AB6">
      <w:pPr>
        <w:pStyle w:val="NormalWeb"/>
        <w:jc w:val="both"/>
      </w:pPr>
      <w:r>
        <w:rPr>
          <w:rStyle w:val="Emphasis"/>
        </w:rPr>
        <w:t>Хоризонт 2020</w:t>
      </w:r>
      <w:r>
        <w:rPr>
          <w:rStyle w:val="Strong"/>
        </w:rPr>
        <w:t xml:space="preserve"> </w:t>
      </w:r>
      <w:r>
        <w:t>садржи нови чланак о „правима приступа за земље чланице“, који им омогућује приступ резултатима истраживања под одређеним условима, посебно у области истраживања безбедности.</w:t>
      </w:r>
    </w:p>
    <w:p w:rsidR="00C80AB6" w:rsidRDefault="00C80AB6" w:rsidP="00432504">
      <w:pPr>
        <w:pStyle w:val="Heading4"/>
        <w:rPr>
          <w:rStyle w:val="Strong"/>
          <w:b/>
          <w:i/>
          <w:u w:val="single"/>
          <w:lang w:val="sr-Cyrl-CS"/>
        </w:rPr>
      </w:pPr>
    </w:p>
    <w:p w:rsidR="00432504" w:rsidRPr="008B4680" w:rsidRDefault="00C80AB6" w:rsidP="00432504">
      <w:pPr>
        <w:pStyle w:val="Heading4"/>
        <w:rPr>
          <w:b w:val="0"/>
          <w:sz w:val="28"/>
          <w:szCs w:val="28"/>
          <w:u w:val="single"/>
          <w:lang w:val="sr-Cyrl-CS"/>
        </w:rPr>
      </w:pPr>
      <w:r w:rsidRPr="008B4680">
        <w:rPr>
          <w:rStyle w:val="Strong"/>
          <w:b/>
          <w:sz w:val="28"/>
          <w:szCs w:val="28"/>
          <w:u w:val="single"/>
          <w:lang w:val="sr-Cyrl-CS"/>
        </w:rPr>
        <w:lastRenderedPageBreak/>
        <w:t>Одобрење пројекта</w:t>
      </w:r>
    </w:p>
    <w:p w:rsidR="00432504" w:rsidRDefault="00432504" w:rsidP="00C80AB6">
      <w:pPr>
        <w:pStyle w:val="NormalWeb"/>
        <w:jc w:val="both"/>
      </w:pPr>
      <w:proofErr w:type="gramStart"/>
      <w:r>
        <w:t xml:space="preserve">Време потребно да се пројекат одобри биће скраћено на осам месеци, од просечних годину дана прописаних у оквиру </w:t>
      </w:r>
      <w:r>
        <w:rPr>
          <w:rStyle w:val="Emphasis"/>
        </w:rPr>
        <w:t>FP7</w:t>
      </w:r>
      <w:r>
        <w:t>.</w:t>
      </w:r>
      <w:proofErr w:type="gramEnd"/>
      <w:r>
        <w:t xml:space="preserve"> Новом финансијском уредбом одређен је рок од девет месеци, али су се преговарачи сложили да он буде скраћен за </w:t>
      </w:r>
      <w:r>
        <w:rPr>
          <w:rStyle w:val="Emphasis"/>
        </w:rPr>
        <w:t>Хоризонт 2020</w:t>
      </w:r>
      <w:r>
        <w:t xml:space="preserve">, где би Комисија већ у првих пет месеци требало да обавести подносиоце захтева да ли је њихов пројекат одобрен, а у наредна три месеца и да потпише уговор о донацији. </w:t>
      </w:r>
      <w:proofErr w:type="gramStart"/>
      <w:r>
        <w:t xml:space="preserve">Прописани рокови се могу прекорачити у случају </w:t>
      </w:r>
      <w:r>
        <w:rPr>
          <w:rStyle w:val="Emphasis"/>
        </w:rPr>
        <w:t>ERC</w:t>
      </w:r>
      <w:r>
        <w:t>-а, сложенијих пројектата или тамо где је учесницима потребно више времена за преговоре.</w:t>
      </w:r>
      <w:proofErr w:type="gramEnd"/>
    </w:p>
    <w:p w:rsidR="00432504" w:rsidRDefault="00432504" w:rsidP="00C80AB6">
      <w:pPr>
        <w:pStyle w:val="NormalWeb"/>
        <w:jc w:val="both"/>
      </w:pPr>
      <w:proofErr w:type="gramStart"/>
      <w:r>
        <w:t xml:space="preserve">Mодел надокнаде трошкова је такође поједностављен, пошто опција потпуне накнаде трошкова неће постојати у случају програма </w:t>
      </w:r>
      <w:r>
        <w:rPr>
          <w:rStyle w:val="Emphasis"/>
        </w:rPr>
        <w:t>Хоризонт 2020</w:t>
      </w:r>
      <w:r>
        <w:t>, а покриће од двадесет пет одсто намењено је за индиректне трошкове.</w:t>
      </w:r>
      <w:proofErr w:type="gramEnd"/>
    </w:p>
    <w:p w:rsidR="00432504" w:rsidRPr="008B4680" w:rsidRDefault="00C80AB6" w:rsidP="00432504">
      <w:pPr>
        <w:pStyle w:val="Heading4"/>
        <w:rPr>
          <w:b w:val="0"/>
          <w:sz w:val="28"/>
          <w:szCs w:val="28"/>
          <w:u w:val="single"/>
          <w:lang w:val="sr-Cyrl-CS"/>
        </w:rPr>
      </w:pPr>
      <w:r w:rsidRPr="008B4680">
        <w:rPr>
          <w:rStyle w:val="Strong"/>
          <w:b/>
          <w:sz w:val="28"/>
          <w:szCs w:val="28"/>
          <w:u w:val="single"/>
          <w:lang w:val="sr-Cyrl-CS"/>
        </w:rPr>
        <w:t>Етичка питања</w:t>
      </w:r>
    </w:p>
    <w:p w:rsidR="00432504" w:rsidRDefault="00432504" w:rsidP="00C80AB6">
      <w:pPr>
        <w:pStyle w:val="NormalWeb"/>
        <w:jc w:val="both"/>
        <w:rPr>
          <w:lang w:val="sr-Cyrl-CS"/>
        </w:rPr>
      </w:pPr>
      <w:proofErr w:type="gramStart"/>
      <w:r>
        <w:t xml:space="preserve">Када је реч о етици у истраживању ембрионских матичних ћелија, на пример, правила остају иста као и у случају </w:t>
      </w:r>
      <w:r>
        <w:rPr>
          <w:rStyle w:val="Emphasis"/>
        </w:rPr>
        <w:t>FP7</w:t>
      </w:r>
      <w:r>
        <w:t xml:space="preserve"> пројеката.</w:t>
      </w:r>
      <w:proofErr w:type="gramEnd"/>
      <w:r>
        <w:t xml:space="preserve"> </w:t>
      </w:r>
      <w:proofErr w:type="gramStart"/>
      <w:r>
        <w:t>Правила о областима истраживања која се не могу финансирати остатају непромењена, а уводи се принцип да се средства за истраживачке активности у земљи у којој су такве активности забрањене не одобравају.</w:t>
      </w:r>
      <w:proofErr w:type="gramEnd"/>
      <w:r>
        <w:t xml:space="preserve"> </w:t>
      </w:r>
      <w:proofErr w:type="gramStart"/>
      <w:r>
        <w:t>Сва истраживања морају бити у складу са етичким принципима и релевантним националним, међународним законодавством, као и законима Европске уније, укључујући Повељу о основним правима Европске уније и Европску конвенцију о људским правима.</w:t>
      </w:r>
      <w:proofErr w:type="gramEnd"/>
      <w:r>
        <w:t xml:space="preserve"> </w:t>
      </w:r>
      <w:proofErr w:type="gramStart"/>
      <w:r>
        <w:t>Мишљења Европске групе за етику у науци и новим технологијама ће се узети у обзир.</w:t>
      </w:r>
      <w:proofErr w:type="gramEnd"/>
    </w:p>
    <w:p w:rsidR="00C80AB6" w:rsidRDefault="00C80AB6" w:rsidP="00C80AB6">
      <w:pPr>
        <w:pStyle w:val="NormalWeb"/>
        <w:jc w:val="center"/>
        <w:rPr>
          <w:b/>
          <w:sz w:val="32"/>
          <w:szCs w:val="32"/>
          <w:u w:val="single"/>
          <w:lang w:val="sr-Cyrl-CS"/>
        </w:rPr>
      </w:pPr>
      <w:r w:rsidRPr="00C80AB6">
        <w:rPr>
          <w:b/>
          <w:sz w:val="32"/>
          <w:szCs w:val="32"/>
          <w:u w:val="single"/>
          <w:lang w:val="sr-Cyrl-CS"/>
        </w:rPr>
        <w:t>Основна правила учешћа и финансирање</w:t>
      </w:r>
    </w:p>
    <w:p w:rsidR="00C80AB6" w:rsidRPr="009B5F7F" w:rsidRDefault="00C80AB6" w:rsidP="00C80AB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5F7F">
        <w:rPr>
          <w:rFonts w:ascii="Times New Roman" w:eastAsia="Times New Roman" w:hAnsi="Times New Roman" w:cs="Times New Roman"/>
          <w:sz w:val="24"/>
          <w:szCs w:val="24"/>
        </w:rPr>
        <w:t xml:space="preserve">Пријављивање пројеката и добијање средстава организовано је кроз </w:t>
      </w:r>
      <w:hyperlink r:id="rId10" w:tgtFrame="_blank" w:history="1">
        <w:r w:rsidRPr="009B5F7F">
          <w:rPr>
            <w:rFonts w:ascii="Times New Roman" w:eastAsia="Times New Roman" w:hAnsi="Times New Roman" w:cs="Times New Roman"/>
            <w:color w:val="0000FF"/>
            <w:sz w:val="24"/>
            <w:szCs w:val="24"/>
            <w:u w:val="single"/>
          </w:rPr>
          <w:t>позиве зе пројекте</w:t>
        </w:r>
      </w:hyperlink>
      <w:r w:rsidRPr="009B5F7F">
        <w:rPr>
          <w:rFonts w:ascii="Times New Roman" w:eastAsia="Times New Roman" w:hAnsi="Times New Roman" w:cs="Times New Roman"/>
          <w:sz w:val="24"/>
          <w:szCs w:val="24"/>
        </w:rPr>
        <w:t xml:space="preserve"> који садрже детаљне информације по питању циљева истраживања обухваћених позивом (унутар тзв. радних програма), начина финансирања и рокова за предају предлога пројекта.</w:t>
      </w:r>
      <w:proofErr w:type="gramEnd"/>
      <w:r w:rsidRPr="009B5F7F">
        <w:rPr>
          <w:rFonts w:ascii="Times New Roman" w:eastAsia="Times New Roman" w:hAnsi="Times New Roman" w:cs="Times New Roman"/>
          <w:sz w:val="24"/>
          <w:szCs w:val="24"/>
        </w:rPr>
        <w:t xml:space="preserve"> У Хоризонту 2020 могу учествовати истраживачке групе на универзитетима, истраживачки институти, појединачни истраживачи, мала и средња предузећа, велике компаније, као и остале владине, невладине и приватне организације и институције.</w:t>
      </w:r>
    </w:p>
    <w:p w:rsidR="00C80AB6" w:rsidRPr="009B5F7F" w:rsidRDefault="00C80AB6" w:rsidP="00C80AB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5F7F">
        <w:rPr>
          <w:rFonts w:ascii="Times New Roman" w:eastAsia="Times New Roman" w:hAnsi="Times New Roman" w:cs="Times New Roman"/>
          <w:sz w:val="24"/>
          <w:szCs w:val="24"/>
        </w:rPr>
        <w:t xml:space="preserve">Министарство просвете, науке и технолошког развоја Републике Србије надлежно је за Хоризонт 2020 и пружа подршку за све програмске блокове и теме програма кроз </w:t>
      </w:r>
      <w:hyperlink r:id="rId11" w:anchor="c,contact=country/sbg/Serbia/1/1/0&amp;function_details..function_abbr/sbg//1/1/0" w:tgtFrame="_blank" w:history="1">
        <w:r w:rsidRPr="009B5F7F">
          <w:rPr>
            <w:rFonts w:ascii="Times New Roman" w:eastAsia="Times New Roman" w:hAnsi="Times New Roman" w:cs="Times New Roman"/>
            <w:color w:val="0000FF"/>
            <w:sz w:val="24"/>
            <w:szCs w:val="24"/>
            <w:u w:val="single"/>
          </w:rPr>
          <w:t>мрежу националних контакт особа.</w:t>
        </w:r>
        <w:proofErr w:type="gramEnd"/>
      </w:hyperlink>
    </w:p>
    <w:p w:rsidR="00C80AB6" w:rsidRDefault="00C80AB6" w:rsidP="00C80AB6">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9B5F7F">
        <w:rPr>
          <w:rFonts w:ascii="Times New Roman" w:eastAsia="Times New Roman" w:hAnsi="Times New Roman" w:cs="Times New Roman"/>
          <w:sz w:val="24"/>
          <w:szCs w:val="24"/>
        </w:rPr>
        <w:t>Министарство спољне и унутрашње трговине и телекомуникација је препознало значај истраживања и развоја у области информационо-комуникационих технологија (ИКТ) и у сарадњи са МПНТР пружаће подршку заинтересованим институцијама и предузећима за учешће у Хоризонту 2020, за област ИКТ.</w:t>
      </w:r>
      <w:proofErr w:type="gramEnd"/>
    </w:p>
    <w:p w:rsidR="00C80AB6" w:rsidRDefault="00C80AB6" w:rsidP="00C80AB6">
      <w:pPr>
        <w:pStyle w:val="Default"/>
      </w:pPr>
    </w:p>
    <w:p w:rsidR="00C80AB6" w:rsidRDefault="00C80AB6" w:rsidP="00C80AB6">
      <w:pPr>
        <w:pStyle w:val="Default"/>
        <w:rPr>
          <w:rFonts w:ascii="Times New Roman" w:hAnsi="Times New Roman" w:cs="Times New Roman"/>
          <w:b/>
          <w:bCs/>
          <w:color w:val="auto"/>
          <w:lang w:val="sr-Cyrl-CS"/>
        </w:rPr>
      </w:pPr>
    </w:p>
    <w:p w:rsidR="00C80AB6" w:rsidRDefault="00C80AB6" w:rsidP="00C80AB6">
      <w:pPr>
        <w:pStyle w:val="Default"/>
        <w:rPr>
          <w:rFonts w:ascii="Times New Roman" w:hAnsi="Times New Roman" w:cs="Times New Roman"/>
          <w:b/>
          <w:bCs/>
          <w:color w:val="auto"/>
          <w:lang w:val="sr-Cyrl-CS"/>
        </w:rPr>
      </w:pPr>
    </w:p>
    <w:p w:rsidR="00C80AB6" w:rsidRPr="008B4680" w:rsidRDefault="00DC7643" w:rsidP="00C80AB6">
      <w:pPr>
        <w:pStyle w:val="Default"/>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lastRenderedPageBreak/>
        <w:t>Облици финансирања</w:t>
      </w:r>
    </w:p>
    <w:p w:rsidR="00C80AB6" w:rsidRPr="00C80AB6" w:rsidRDefault="00C80AB6" w:rsidP="00C00AA1">
      <w:pPr>
        <w:pStyle w:val="Default"/>
        <w:jc w:val="both"/>
        <w:rPr>
          <w:rFonts w:ascii="Times New Roman" w:hAnsi="Times New Roman" w:cs="Times New Roman"/>
          <w:color w:val="auto"/>
          <w:u w:val="single"/>
          <w:lang w:val="sr-Cyrl-CS"/>
        </w:rPr>
      </w:pPr>
    </w:p>
    <w:p w:rsidR="00C80AB6" w:rsidRPr="00DC7643" w:rsidRDefault="00C80AB6" w:rsidP="00C00AA1">
      <w:pPr>
        <w:pStyle w:val="Default"/>
        <w:jc w:val="both"/>
        <w:rPr>
          <w:rFonts w:ascii="Times New Roman" w:hAnsi="Times New Roman" w:cs="Times New Roman"/>
          <w:b/>
          <w:bCs/>
          <w:color w:val="auto"/>
          <w:lang w:val="sr-Cyrl-CS"/>
        </w:rPr>
      </w:pPr>
      <w:r w:rsidRPr="00C80AB6">
        <w:rPr>
          <w:rFonts w:ascii="Times New Roman" w:hAnsi="Times New Roman" w:cs="Times New Roman"/>
          <w:color w:val="auto"/>
        </w:rPr>
        <w:t>•</w:t>
      </w:r>
      <w:r w:rsidR="00DC7643">
        <w:rPr>
          <w:rFonts w:ascii="Times New Roman" w:hAnsi="Times New Roman" w:cs="Times New Roman"/>
          <w:b/>
          <w:bCs/>
          <w:color w:val="auto"/>
          <w:lang w:val="sr-Cyrl-CS"/>
        </w:rPr>
        <w:t>Грантови</w:t>
      </w:r>
    </w:p>
    <w:p w:rsidR="00C80AB6" w:rsidRPr="00C80AB6" w:rsidRDefault="00C80AB6" w:rsidP="00C00AA1">
      <w:pPr>
        <w:pStyle w:val="Default"/>
        <w:jc w:val="both"/>
        <w:rPr>
          <w:rFonts w:ascii="Times New Roman" w:hAnsi="Times New Roman" w:cs="Times New Roman"/>
          <w:color w:val="auto"/>
          <w:lang w:val="sr-Cyrl-CS"/>
        </w:rPr>
      </w:pPr>
    </w:p>
    <w:p w:rsidR="00C80AB6" w:rsidRDefault="00C80AB6" w:rsidP="00DC7643">
      <w:pPr>
        <w:pStyle w:val="Default"/>
        <w:ind w:firstLine="720"/>
        <w:jc w:val="both"/>
        <w:rPr>
          <w:rFonts w:ascii="Times New Roman" w:hAnsi="Times New Roman" w:cs="Times New Roman"/>
          <w:color w:val="auto"/>
          <w:lang w:val="sr-Cyrl-CS"/>
        </w:rPr>
      </w:pPr>
      <w:r w:rsidRPr="00C80AB6">
        <w:rPr>
          <w:rFonts w:ascii="Times New Roman" w:hAnsi="Times New Roman" w:cs="Times New Roman"/>
          <w:color w:val="auto"/>
        </w:rPr>
        <w:t>•</w:t>
      </w:r>
      <w:r w:rsidR="00DC7643">
        <w:rPr>
          <w:rFonts w:ascii="Times New Roman" w:hAnsi="Times New Roman" w:cs="Times New Roman"/>
          <w:color w:val="auto"/>
          <w:lang w:val="sr-Cyrl-CS"/>
        </w:rPr>
        <w:t>Директан финансијски допринос</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у виду донације у циљу</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финансирања одређене активности</w:t>
      </w:r>
      <w:r w:rsidRPr="00C80AB6">
        <w:rPr>
          <w:rFonts w:ascii="Times New Roman" w:hAnsi="Times New Roman" w:cs="Times New Roman"/>
          <w:color w:val="auto"/>
        </w:rPr>
        <w:t xml:space="preserve"> </w:t>
      </w:r>
    </w:p>
    <w:p w:rsidR="00C80AB6" w:rsidRPr="00C80AB6" w:rsidRDefault="00C80AB6" w:rsidP="00C00AA1">
      <w:pPr>
        <w:pStyle w:val="Default"/>
        <w:jc w:val="both"/>
        <w:rPr>
          <w:rFonts w:ascii="Times New Roman" w:hAnsi="Times New Roman" w:cs="Times New Roman"/>
          <w:color w:val="auto"/>
          <w:lang w:val="sr-Cyrl-CS"/>
        </w:rPr>
      </w:pPr>
    </w:p>
    <w:p w:rsidR="00C80AB6" w:rsidRPr="00DC7643" w:rsidRDefault="00C80AB6" w:rsidP="00C00AA1">
      <w:pPr>
        <w:pStyle w:val="Default"/>
        <w:jc w:val="both"/>
        <w:rPr>
          <w:rFonts w:ascii="Times New Roman" w:hAnsi="Times New Roman" w:cs="Times New Roman"/>
          <w:b/>
          <w:bCs/>
          <w:color w:val="auto"/>
          <w:lang w:val="sr-Cyrl-CS"/>
        </w:rPr>
      </w:pPr>
      <w:r w:rsidRPr="00C80AB6">
        <w:rPr>
          <w:rFonts w:ascii="Times New Roman" w:hAnsi="Times New Roman" w:cs="Times New Roman"/>
          <w:color w:val="auto"/>
        </w:rPr>
        <w:t>•</w:t>
      </w:r>
      <w:r w:rsidR="00DC7643">
        <w:rPr>
          <w:rFonts w:ascii="Times New Roman" w:hAnsi="Times New Roman" w:cs="Times New Roman"/>
          <w:b/>
          <w:bCs/>
          <w:color w:val="auto"/>
          <w:lang w:val="sr-Cyrl-CS"/>
        </w:rPr>
        <w:t>Награде</w:t>
      </w:r>
    </w:p>
    <w:p w:rsidR="00C80AB6" w:rsidRPr="00C80AB6" w:rsidRDefault="00C80AB6" w:rsidP="00C00AA1">
      <w:pPr>
        <w:pStyle w:val="Default"/>
        <w:jc w:val="both"/>
        <w:rPr>
          <w:rFonts w:ascii="Times New Roman" w:hAnsi="Times New Roman" w:cs="Times New Roman"/>
          <w:color w:val="auto"/>
          <w:lang w:val="sr-Cyrl-CS"/>
        </w:rPr>
      </w:pPr>
    </w:p>
    <w:p w:rsidR="00C80AB6" w:rsidRDefault="00C80AB6" w:rsidP="00DC7643">
      <w:pPr>
        <w:pStyle w:val="Default"/>
        <w:ind w:firstLine="720"/>
        <w:jc w:val="both"/>
        <w:rPr>
          <w:rFonts w:ascii="Times New Roman" w:hAnsi="Times New Roman" w:cs="Times New Roman"/>
          <w:color w:val="auto"/>
          <w:lang w:val="sr-Cyrl-CS"/>
        </w:rPr>
      </w:pPr>
      <w:r w:rsidRPr="00C80AB6">
        <w:rPr>
          <w:rFonts w:ascii="Times New Roman" w:hAnsi="Times New Roman" w:cs="Times New Roman"/>
          <w:color w:val="auto"/>
        </w:rPr>
        <w:t>•</w:t>
      </w:r>
      <w:r w:rsidR="00DC7643">
        <w:rPr>
          <w:rFonts w:ascii="Times New Roman" w:hAnsi="Times New Roman" w:cs="Times New Roman"/>
          <w:color w:val="auto"/>
          <w:lang w:val="sr-Cyrl-CS"/>
        </w:rPr>
        <w:t>Финансијски допринос у виду награде</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по основу учешћа на конкурсу</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награда као признање за рад</w:t>
      </w:r>
      <w:r w:rsidRPr="00C80AB6">
        <w:rPr>
          <w:rFonts w:ascii="Times New Roman" w:hAnsi="Times New Roman" w:cs="Times New Roman"/>
          <w:b/>
          <w:bCs/>
          <w:color w:val="auto"/>
        </w:rPr>
        <w:t xml:space="preserve"> </w:t>
      </w:r>
      <w:r w:rsidR="00DC7643">
        <w:rPr>
          <w:rFonts w:ascii="Times New Roman" w:hAnsi="Times New Roman" w:cs="Times New Roman"/>
          <w:color w:val="auto"/>
          <w:lang w:val="sr-Cyrl-CS"/>
        </w:rPr>
        <w:t>или подстицајна награда</w:t>
      </w:r>
      <w:r w:rsidRPr="00C80AB6">
        <w:rPr>
          <w:rFonts w:ascii="Times New Roman" w:hAnsi="Times New Roman" w:cs="Times New Roman"/>
          <w:color w:val="auto"/>
        </w:rPr>
        <w:t xml:space="preserve">) </w:t>
      </w:r>
    </w:p>
    <w:p w:rsidR="00C80AB6" w:rsidRPr="00C80AB6" w:rsidRDefault="00C80AB6" w:rsidP="00C00AA1">
      <w:pPr>
        <w:pStyle w:val="Default"/>
        <w:jc w:val="both"/>
        <w:rPr>
          <w:rFonts w:ascii="Times New Roman" w:hAnsi="Times New Roman" w:cs="Times New Roman"/>
          <w:color w:val="auto"/>
          <w:lang w:val="sr-Cyrl-CS"/>
        </w:rPr>
      </w:pPr>
    </w:p>
    <w:p w:rsidR="00C80AB6" w:rsidRPr="00DC7643" w:rsidRDefault="00C80AB6" w:rsidP="00C00AA1">
      <w:pPr>
        <w:pStyle w:val="Default"/>
        <w:jc w:val="both"/>
        <w:rPr>
          <w:rFonts w:ascii="Times New Roman" w:hAnsi="Times New Roman" w:cs="Times New Roman"/>
          <w:b/>
          <w:bCs/>
          <w:color w:val="auto"/>
          <w:lang w:val="sr-Cyrl-CS"/>
        </w:rPr>
      </w:pPr>
      <w:r w:rsidRPr="00C80AB6">
        <w:rPr>
          <w:rFonts w:ascii="Times New Roman" w:hAnsi="Times New Roman" w:cs="Times New Roman"/>
          <w:color w:val="auto"/>
        </w:rPr>
        <w:t>•</w:t>
      </w:r>
      <w:r w:rsidR="00DC7643">
        <w:rPr>
          <w:rFonts w:ascii="Times New Roman" w:hAnsi="Times New Roman" w:cs="Times New Roman"/>
          <w:b/>
          <w:bCs/>
          <w:color w:val="auto"/>
          <w:lang w:val="sr-Cyrl-CS"/>
        </w:rPr>
        <w:t>Набавка</w:t>
      </w:r>
    </w:p>
    <w:p w:rsidR="00C80AB6" w:rsidRPr="00C80AB6" w:rsidRDefault="00C80AB6" w:rsidP="00C00AA1">
      <w:pPr>
        <w:pStyle w:val="Default"/>
        <w:jc w:val="both"/>
        <w:rPr>
          <w:rFonts w:ascii="Times New Roman" w:hAnsi="Times New Roman" w:cs="Times New Roman"/>
          <w:color w:val="auto"/>
          <w:lang w:val="sr-Cyrl-CS"/>
        </w:rPr>
      </w:pPr>
    </w:p>
    <w:p w:rsidR="00C80AB6" w:rsidRDefault="00C80AB6" w:rsidP="00DC7643">
      <w:pPr>
        <w:pStyle w:val="Default"/>
        <w:ind w:firstLine="720"/>
        <w:jc w:val="both"/>
        <w:rPr>
          <w:rFonts w:ascii="Times New Roman" w:hAnsi="Times New Roman" w:cs="Times New Roman"/>
          <w:color w:val="auto"/>
          <w:lang w:val="sr-Cyrl-CS"/>
        </w:rPr>
      </w:pPr>
      <w:r w:rsidRPr="00C80AB6">
        <w:rPr>
          <w:rFonts w:ascii="Times New Roman" w:hAnsi="Times New Roman" w:cs="Times New Roman"/>
          <w:color w:val="auto"/>
        </w:rPr>
        <w:t>•</w:t>
      </w:r>
      <w:r w:rsidR="00DC7643">
        <w:rPr>
          <w:rFonts w:ascii="Times New Roman" w:hAnsi="Times New Roman" w:cs="Times New Roman"/>
          <w:color w:val="auto"/>
          <w:lang w:val="sr-Cyrl-CS"/>
        </w:rPr>
        <w:t>Снабдевање средствима</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извршење радова</w:t>
      </w:r>
      <w:r w:rsidRPr="00C80AB6">
        <w:rPr>
          <w:rFonts w:ascii="Times New Roman" w:hAnsi="Times New Roman" w:cs="Times New Roman"/>
          <w:color w:val="auto"/>
        </w:rPr>
        <w:t xml:space="preserve"> </w:t>
      </w:r>
      <w:r w:rsidR="00DC7643">
        <w:rPr>
          <w:rFonts w:ascii="Times New Roman" w:hAnsi="Times New Roman" w:cs="Times New Roman"/>
          <w:color w:val="auto"/>
          <w:lang w:val="sr-Cyrl-CS"/>
        </w:rPr>
        <w:t>или пружање сервиса уз плаћање</w:t>
      </w:r>
      <w:r w:rsidRPr="00C80AB6">
        <w:rPr>
          <w:rFonts w:ascii="Times New Roman" w:hAnsi="Times New Roman" w:cs="Times New Roman"/>
          <w:color w:val="auto"/>
        </w:rPr>
        <w:t xml:space="preserve"> </w:t>
      </w:r>
    </w:p>
    <w:p w:rsidR="00C80AB6" w:rsidRPr="00C80AB6" w:rsidRDefault="00C80AB6" w:rsidP="00C00AA1">
      <w:pPr>
        <w:pStyle w:val="Default"/>
        <w:jc w:val="both"/>
        <w:rPr>
          <w:rFonts w:ascii="Times New Roman" w:hAnsi="Times New Roman" w:cs="Times New Roman"/>
          <w:color w:val="auto"/>
          <w:lang w:val="sr-Cyrl-CS"/>
        </w:rPr>
      </w:pPr>
    </w:p>
    <w:p w:rsidR="00C80AB6" w:rsidRDefault="00C80AB6" w:rsidP="00C00AA1">
      <w:pPr>
        <w:pStyle w:val="Default"/>
        <w:jc w:val="both"/>
        <w:rPr>
          <w:rFonts w:ascii="Times New Roman" w:hAnsi="Times New Roman" w:cs="Times New Roman"/>
          <w:b/>
          <w:bCs/>
          <w:color w:val="auto"/>
          <w:lang w:val="sr-Cyrl-CS"/>
        </w:rPr>
      </w:pPr>
      <w:r w:rsidRPr="00C80AB6">
        <w:rPr>
          <w:rFonts w:ascii="Times New Roman" w:hAnsi="Times New Roman" w:cs="Times New Roman"/>
          <w:color w:val="auto"/>
        </w:rPr>
        <w:t>•</w:t>
      </w:r>
      <w:r w:rsidR="00DC7643">
        <w:rPr>
          <w:rFonts w:ascii="Times New Roman" w:hAnsi="Times New Roman" w:cs="Times New Roman"/>
          <w:b/>
          <w:bCs/>
          <w:color w:val="auto"/>
          <w:lang w:val="sr-Cyrl-CS"/>
        </w:rPr>
        <w:t>Финансијски инструмент</w:t>
      </w:r>
      <w:r w:rsidRPr="00C80AB6">
        <w:rPr>
          <w:rFonts w:ascii="Times New Roman" w:hAnsi="Times New Roman" w:cs="Times New Roman"/>
          <w:b/>
          <w:bCs/>
          <w:color w:val="auto"/>
        </w:rPr>
        <w:t xml:space="preserve"> </w:t>
      </w:r>
    </w:p>
    <w:p w:rsidR="00C80AB6" w:rsidRPr="00C80AB6" w:rsidRDefault="00C80AB6" w:rsidP="00C00AA1">
      <w:pPr>
        <w:pStyle w:val="Default"/>
        <w:jc w:val="both"/>
        <w:rPr>
          <w:rFonts w:ascii="Times New Roman" w:hAnsi="Times New Roman" w:cs="Times New Roman"/>
          <w:color w:val="auto"/>
          <w:lang w:val="sr-Cyrl-CS"/>
        </w:rPr>
      </w:pPr>
    </w:p>
    <w:p w:rsidR="00C80AB6" w:rsidRPr="00C80AB6" w:rsidRDefault="00C80AB6" w:rsidP="00DC7643">
      <w:pPr>
        <w:pStyle w:val="Default"/>
        <w:ind w:firstLine="720"/>
        <w:jc w:val="both"/>
        <w:rPr>
          <w:rFonts w:ascii="Times New Roman" w:hAnsi="Times New Roman" w:cs="Times New Roman"/>
          <w:color w:val="auto"/>
        </w:rPr>
      </w:pPr>
      <w:r w:rsidRPr="00C80AB6">
        <w:rPr>
          <w:rFonts w:ascii="Times New Roman" w:hAnsi="Times New Roman" w:cs="Times New Roman"/>
          <w:color w:val="auto"/>
        </w:rPr>
        <w:t>•</w:t>
      </w:r>
      <w:r w:rsidR="00DC7643">
        <w:rPr>
          <w:rFonts w:ascii="Times New Roman" w:hAnsi="Times New Roman" w:cs="Times New Roman"/>
          <w:color w:val="auto"/>
          <w:lang w:val="sr-Cyrl-CS"/>
        </w:rPr>
        <w:t>Капиталне или квази капиталне инвестиције, позајмице, гаранције, други инструменти за поделу ризика</w:t>
      </w:r>
      <w:r w:rsidRPr="00C80AB6">
        <w:rPr>
          <w:rFonts w:ascii="Times New Roman" w:hAnsi="Times New Roman" w:cs="Times New Roman"/>
          <w:color w:val="auto"/>
        </w:rPr>
        <w:t xml:space="preserve"> </w:t>
      </w:r>
    </w:p>
    <w:p w:rsidR="00C80AB6" w:rsidRDefault="00C80AB6" w:rsidP="00C00AA1">
      <w:pPr>
        <w:pStyle w:val="Default"/>
        <w:jc w:val="both"/>
      </w:pPr>
    </w:p>
    <w:p w:rsidR="00C80AB6" w:rsidRPr="008B4680" w:rsidRDefault="00DC7643" w:rsidP="00C00AA1">
      <w:pPr>
        <w:pStyle w:val="Default"/>
        <w:jc w:val="both"/>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Активности подржане грантовима</w:t>
      </w:r>
    </w:p>
    <w:p w:rsidR="00C80AB6" w:rsidRPr="00C80AB6" w:rsidRDefault="00C80AB6" w:rsidP="00C00AA1">
      <w:pPr>
        <w:pStyle w:val="Default"/>
        <w:jc w:val="both"/>
        <w:rPr>
          <w:rFonts w:ascii="Times New Roman" w:hAnsi="Times New Roman" w:cs="Times New Roman"/>
          <w:color w:val="auto"/>
          <w:u w:val="single"/>
          <w:lang w:val="sr-Cyrl-CS"/>
        </w:rPr>
      </w:pPr>
    </w:p>
    <w:p w:rsidR="00C80AB6" w:rsidRPr="00C80AB6" w:rsidRDefault="00DC7643" w:rsidP="00C00AA1">
      <w:pPr>
        <w:pStyle w:val="Default"/>
        <w:numPr>
          <w:ilvl w:val="0"/>
          <w:numId w:val="4"/>
        </w:numPr>
        <w:spacing w:after="194"/>
        <w:jc w:val="both"/>
        <w:rPr>
          <w:rFonts w:ascii="Times New Roman" w:hAnsi="Times New Roman" w:cs="Times New Roman"/>
          <w:color w:val="auto"/>
        </w:rPr>
      </w:pPr>
      <w:r>
        <w:rPr>
          <w:rFonts w:ascii="Times New Roman" w:hAnsi="Times New Roman" w:cs="Times New Roman"/>
          <w:color w:val="auto"/>
          <w:lang w:val="sr-Cyrl-CS"/>
        </w:rPr>
        <w:t xml:space="preserve">Акције у области истраживања и иновација </w:t>
      </w:r>
    </w:p>
    <w:p w:rsidR="00C80AB6" w:rsidRPr="00C80AB6" w:rsidRDefault="00DC7643" w:rsidP="00C00AA1">
      <w:pPr>
        <w:pStyle w:val="Default"/>
        <w:numPr>
          <w:ilvl w:val="0"/>
          <w:numId w:val="4"/>
        </w:numPr>
        <w:spacing w:after="194"/>
        <w:jc w:val="both"/>
        <w:rPr>
          <w:rFonts w:ascii="Times New Roman" w:hAnsi="Times New Roman" w:cs="Times New Roman"/>
          <w:color w:val="auto"/>
        </w:rPr>
      </w:pPr>
      <w:r>
        <w:rPr>
          <w:rFonts w:ascii="Times New Roman" w:hAnsi="Times New Roman" w:cs="Times New Roman"/>
          <w:color w:val="auto"/>
          <w:lang w:val="sr-Cyrl-CS"/>
        </w:rPr>
        <w:t>Акције у области иновација</w:t>
      </w:r>
      <w:r w:rsidR="00C80AB6" w:rsidRPr="00C80AB6">
        <w:rPr>
          <w:rFonts w:ascii="Times New Roman" w:hAnsi="Times New Roman" w:cs="Times New Roman"/>
          <w:color w:val="auto"/>
        </w:rPr>
        <w:t xml:space="preserve"> </w:t>
      </w:r>
    </w:p>
    <w:p w:rsidR="00C80AB6" w:rsidRPr="00C80AB6" w:rsidRDefault="00C80AB6" w:rsidP="00C00AA1">
      <w:pPr>
        <w:pStyle w:val="Default"/>
        <w:numPr>
          <w:ilvl w:val="0"/>
          <w:numId w:val="4"/>
        </w:numPr>
        <w:spacing w:after="194"/>
        <w:jc w:val="both"/>
        <w:rPr>
          <w:rFonts w:ascii="Times New Roman" w:hAnsi="Times New Roman" w:cs="Times New Roman"/>
          <w:color w:val="auto"/>
        </w:rPr>
      </w:pPr>
      <w:r w:rsidRPr="00C80AB6">
        <w:rPr>
          <w:rFonts w:ascii="Times New Roman" w:hAnsi="Times New Roman" w:cs="Times New Roman"/>
          <w:color w:val="auto"/>
        </w:rPr>
        <w:t>A</w:t>
      </w:r>
      <w:r w:rsidR="00DC7643">
        <w:rPr>
          <w:rFonts w:ascii="Times New Roman" w:hAnsi="Times New Roman" w:cs="Times New Roman"/>
          <w:color w:val="auto"/>
          <w:lang w:val="sr-Cyrl-CS"/>
        </w:rPr>
        <w:t xml:space="preserve">кције за координацију и подршку </w:t>
      </w:r>
    </w:p>
    <w:p w:rsidR="00C80AB6" w:rsidRPr="00C80AB6" w:rsidRDefault="00DC7643" w:rsidP="00C00AA1">
      <w:pPr>
        <w:pStyle w:val="Default"/>
        <w:numPr>
          <w:ilvl w:val="0"/>
          <w:numId w:val="4"/>
        </w:numPr>
        <w:spacing w:after="194"/>
        <w:jc w:val="both"/>
        <w:rPr>
          <w:rFonts w:ascii="Times New Roman" w:hAnsi="Times New Roman" w:cs="Times New Roman"/>
          <w:color w:val="auto"/>
        </w:rPr>
      </w:pPr>
      <w:r>
        <w:rPr>
          <w:rFonts w:ascii="Times New Roman" w:hAnsi="Times New Roman" w:cs="Times New Roman"/>
          <w:color w:val="auto"/>
          <w:lang w:val="sr-Cyrl-CS"/>
        </w:rPr>
        <w:t xml:space="preserve">Инструмент за МСП </w:t>
      </w:r>
    </w:p>
    <w:p w:rsidR="00C80AB6" w:rsidRPr="00C80AB6" w:rsidRDefault="00DC7643" w:rsidP="00C00AA1">
      <w:pPr>
        <w:pStyle w:val="Default"/>
        <w:numPr>
          <w:ilvl w:val="0"/>
          <w:numId w:val="4"/>
        </w:numPr>
        <w:spacing w:after="194"/>
        <w:jc w:val="both"/>
        <w:rPr>
          <w:rFonts w:ascii="Times New Roman" w:hAnsi="Times New Roman" w:cs="Times New Roman"/>
          <w:color w:val="auto"/>
        </w:rPr>
      </w:pPr>
      <w:r>
        <w:rPr>
          <w:rFonts w:ascii="Times New Roman" w:hAnsi="Times New Roman" w:cs="Times New Roman"/>
          <w:color w:val="auto"/>
          <w:lang w:val="sr-Cyrl-CS"/>
        </w:rPr>
        <w:t xml:space="preserve">ЕРАНЕТ суфинансирање </w:t>
      </w:r>
    </w:p>
    <w:p w:rsidR="00C80AB6" w:rsidRPr="00C80AB6" w:rsidRDefault="00DC7643" w:rsidP="00C00AA1">
      <w:pPr>
        <w:pStyle w:val="Default"/>
        <w:numPr>
          <w:ilvl w:val="0"/>
          <w:numId w:val="4"/>
        </w:numPr>
        <w:spacing w:after="194"/>
        <w:jc w:val="both"/>
        <w:rPr>
          <w:rFonts w:ascii="Times New Roman" w:hAnsi="Times New Roman" w:cs="Times New Roman"/>
          <w:color w:val="auto"/>
        </w:rPr>
      </w:pPr>
      <w:r>
        <w:rPr>
          <w:rFonts w:ascii="Times New Roman" w:hAnsi="Times New Roman" w:cs="Times New Roman"/>
          <w:color w:val="auto"/>
          <w:lang w:val="sr-Cyrl-CS"/>
        </w:rPr>
        <w:t>Суфинансирање предкомерцијалних набавки</w:t>
      </w:r>
      <w:r w:rsidR="00C80AB6" w:rsidRPr="00C80AB6">
        <w:rPr>
          <w:rFonts w:ascii="Times New Roman" w:hAnsi="Times New Roman" w:cs="Times New Roman"/>
          <w:color w:val="auto"/>
        </w:rPr>
        <w:t xml:space="preserve"> </w:t>
      </w:r>
    </w:p>
    <w:p w:rsidR="00C80AB6" w:rsidRPr="00DC7643" w:rsidRDefault="00DC7643" w:rsidP="00C00AA1">
      <w:pPr>
        <w:pStyle w:val="Default"/>
        <w:numPr>
          <w:ilvl w:val="0"/>
          <w:numId w:val="4"/>
        </w:numPr>
        <w:jc w:val="both"/>
        <w:rPr>
          <w:rFonts w:ascii="Times New Roman" w:hAnsi="Times New Roman" w:cs="Times New Roman"/>
          <w:color w:val="auto"/>
          <w:lang w:val="sr-Cyrl-CS"/>
        </w:rPr>
      </w:pPr>
      <w:r w:rsidRPr="00DC7643">
        <w:rPr>
          <w:rFonts w:ascii="Times New Roman" w:hAnsi="Times New Roman" w:cs="Times New Roman"/>
          <w:color w:val="auto"/>
          <w:lang w:val="sr-Cyrl-CS"/>
        </w:rPr>
        <w:t>Суфинансиранје јавних набавки иновативних решења</w:t>
      </w:r>
    </w:p>
    <w:p w:rsidR="00C80AB6" w:rsidRDefault="00C80AB6" w:rsidP="00C00AA1">
      <w:pPr>
        <w:pStyle w:val="Default"/>
        <w:jc w:val="both"/>
      </w:pPr>
    </w:p>
    <w:p w:rsidR="00C80AB6" w:rsidRPr="008B4680" w:rsidRDefault="00DC7643" w:rsidP="00C00AA1">
      <w:pPr>
        <w:pStyle w:val="Default"/>
        <w:jc w:val="both"/>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Акције у области иновација</w:t>
      </w:r>
    </w:p>
    <w:p w:rsidR="00C00AA1" w:rsidRPr="00C00AA1" w:rsidRDefault="00C00AA1" w:rsidP="00C00AA1">
      <w:pPr>
        <w:pStyle w:val="Default"/>
        <w:jc w:val="both"/>
        <w:rPr>
          <w:rFonts w:ascii="Times New Roman" w:hAnsi="Times New Roman" w:cs="Times New Roman"/>
          <w:b/>
          <w:color w:val="auto"/>
          <w:u w:val="single"/>
          <w:lang w:val="sr-Cyrl-CS"/>
        </w:rPr>
      </w:pPr>
    </w:p>
    <w:p w:rsidR="00C80AB6" w:rsidRPr="00B30228" w:rsidRDefault="00DC7643" w:rsidP="00C00AA1">
      <w:pPr>
        <w:pStyle w:val="Default"/>
        <w:numPr>
          <w:ilvl w:val="0"/>
          <w:numId w:val="3"/>
        </w:numPr>
        <w:spacing w:after="194"/>
        <w:jc w:val="both"/>
        <w:rPr>
          <w:rFonts w:ascii="Times New Roman" w:hAnsi="Times New Roman" w:cs="Times New Roman"/>
          <w:color w:val="auto"/>
        </w:rPr>
      </w:pPr>
      <w:r w:rsidRPr="00B30228">
        <w:rPr>
          <w:rFonts w:ascii="Times New Roman" w:hAnsi="Times New Roman" w:cs="Times New Roman"/>
          <w:color w:val="auto"/>
          <w:lang w:val="sr-Cyrl-CS"/>
        </w:rPr>
        <w:t>Примарно се састоје од активности чији је директни циљ израда планова, решења или дизајна за нове, измењене или побољшане производе, процесе и сервисе</w:t>
      </w:r>
      <w:r w:rsidR="00B30228" w:rsidRPr="00B30228">
        <w:rPr>
          <w:rFonts w:ascii="Times New Roman" w:hAnsi="Times New Roman" w:cs="Times New Roman"/>
          <w:color w:val="auto"/>
          <w:lang w:val="sr-Cyrl-CS"/>
        </w:rPr>
        <w:t xml:space="preserve">. </w:t>
      </w:r>
    </w:p>
    <w:p w:rsidR="00C80AB6" w:rsidRPr="00B30228" w:rsidRDefault="00B30228" w:rsidP="00C00AA1">
      <w:pPr>
        <w:pStyle w:val="Default"/>
        <w:numPr>
          <w:ilvl w:val="0"/>
          <w:numId w:val="3"/>
        </w:numPr>
        <w:jc w:val="both"/>
        <w:rPr>
          <w:rFonts w:ascii="Times New Roman" w:hAnsi="Times New Roman" w:cs="Times New Roman"/>
          <w:color w:val="auto"/>
          <w:lang w:val="sr-Cyrl-CS"/>
        </w:rPr>
      </w:pPr>
      <w:r w:rsidRPr="00B30228">
        <w:rPr>
          <w:rFonts w:ascii="Times New Roman" w:hAnsi="Times New Roman" w:cs="Times New Roman"/>
          <w:color w:val="auto"/>
          <w:lang w:val="sr-Cyrl-CS"/>
        </w:rPr>
        <w:t xml:space="preserve">У ту сврху ове акције могу да обухвате израду прототипова, тестирање, демонстрације, пилот пројекте, валидацију великог обима и тржишну репликацију. </w:t>
      </w:r>
    </w:p>
    <w:p w:rsidR="00C80AB6" w:rsidRPr="00C00AA1" w:rsidRDefault="00C80AB6" w:rsidP="00C00AA1">
      <w:pPr>
        <w:pStyle w:val="Default"/>
        <w:jc w:val="both"/>
        <w:rPr>
          <w:rFonts w:ascii="Times New Roman" w:hAnsi="Times New Roman" w:cs="Times New Roman"/>
        </w:rPr>
      </w:pPr>
    </w:p>
    <w:p w:rsidR="00C00AA1" w:rsidRDefault="00C00AA1" w:rsidP="00C00AA1">
      <w:pPr>
        <w:pStyle w:val="Default"/>
        <w:jc w:val="both"/>
        <w:rPr>
          <w:rFonts w:ascii="Times New Roman" w:hAnsi="Times New Roman" w:cs="Times New Roman"/>
          <w:b/>
          <w:bCs/>
          <w:color w:val="auto"/>
          <w:u w:val="single"/>
          <w:lang w:val="sr-Cyrl-CS"/>
        </w:rPr>
      </w:pPr>
    </w:p>
    <w:p w:rsidR="00C00AA1" w:rsidRDefault="00C00AA1" w:rsidP="00C00AA1">
      <w:pPr>
        <w:pStyle w:val="Default"/>
        <w:jc w:val="both"/>
        <w:rPr>
          <w:rFonts w:ascii="Times New Roman" w:hAnsi="Times New Roman" w:cs="Times New Roman"/>
          <w:b/>
          <w:bCs/>
          <w:color w:val="auto"/>
          <w:u w:val="single"/>
          <w:lang w:val="sr-Cyrl-CS"/>
        </w:rPr>
      </w:pPr>
    </w:p>
    <w:p w:rsidR="00C00AA1" w:rsidRDefault="00C00AA1" w:rsidP="00C00AA1">
      <w:pPr>
        <w:pStyle w:val="Default"/>
        <w:jc w:val="both"/>
        <w:rPr>
          <w:rFonts w:ascii="Times New Roman" w:hAnsi="Times New Roman" w:cs="Times New Roman"/>
          <w:b/>
          <w:bCs/>
          <w:color w:val="auto"/>
          <w:u w:val="single"/>
          <w:lang w:val="sr-Cyrl-CS"/>
        </w:rPr>
      </w:pPr>
    </w:p>
    <w:p w:rsidR="00C80AB6" w:rsidRPr="008B4680" w:rsidRDefault="00B30228" w:rsidP="00C00AA1">
      <w:pPr>
        <w:pStyle w:val="Default"/>
        <w:jc w:val="both"/>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Акције за координацију и подршку</w:t>
      </w:r>
    </w:p>
    <w:p w:rsidR="00C00AA1" w:rsidRPr="00C00AA1" w:rsidRDefault="00C00AA1" w:rsidP="00C00AA1">
      <w:pPr>
        <w:pStyle w:val="Default"/>
        <w:jc w:val="both"/>
        <w:rPr>
          <w:rFonts w:ascii="Times New Roman" w:hAnsi="Times New Roman" w:cs="Times New Roman"/>
          <w:color w:val="auto"/>
          <w:u w:val="single"/>
          <w:lang w:val="sr-Cyrl-CS"/>
        </w:rPr>
      </w:pPr>
    </w:p>
    <w:p w:rsidR="00C80AB6" w:rsidRPr="00B30228" w:rsidRDefault="00B30228" w:rsidP="00C00AA1">
      <w:pPr>
        <w:pStyle w:val="Default"/>
        <w:numPr>
          <w:ilvl w:val="0"/>
          <w:numId w:val="2"/>
        </w:numPr>
        <w:spacing w:after="194"/>
        <w:jc w:val="both"/>
        <w:rPr>
          <w:rFonts w:ascii="Times New Roman" w:hAnsi="Times New Roman" w:cs="Times New Roman"/>
          <w:color w:val="auto"/>
        </w:rPr>
      </w:pPr>
      <w:r w:rsidRPr="00B30228">
        <w:rPr>
          <w:rFonts w:ascii="Times New Roman" w:hAnsi="Times New Roman" w:cs="Times New Roman"/>
          <w:color w:val="auto"/>
          <w:lang w:val="sr-Cyrl-CS"/>
        </w:rPr>
        <w:t xml:space="preserve">Акције које се примарно састоје од пратећих мера као што су стандардизација, дисеминација, подизање нивоа свести, комуникација, умрежавање, сервиси за координацију или подршку, дијалози о политикама, заједничке обуке и израда заједничких студија уклјучујући и студије за пројектовање нове инфраструктуре. </w:t>
      </w:r>
    </w:p>
    <w:p w:rsidR="00C00AA1" w:rsidRPr="00B30228" w:rsidRDefault="00B30228" w:rsidP="00C00AA1">
      <w:pPr>
        <w:pStyle w:val="Default"/>
        <w:numPr>
          <w:ilvl w:val="0"/>
          <w:numId w:val="2"/>
        </w:numPr>
        <w:jc w:val="both"/>
        <w:rPr>
          <w:rFonts w:ascii="Times New Roman" w:hAnsi="Times New Roman" w:cs="Times New Roman"/>
          <w:u w:val="single"/>
          <w:lang w:val="sr-Cyrl-CS"/>
        </w:rPr>
      </w:pPr>
      <w:r w:rsidRPr="00B30228">
        <w:rPr>
          <w:rFonts w:ascii="Times New Roman" w:hAnsi="Times New Roman" w:cs="Times New Roman"/>
          <w:color w:val="auto"/>
          <w:lang w:val="sr-Cyrl-CS"/>
        </w:rPr>
        <w:t xml:space="preserve">Могу обухватити и комплементарне активности као што су умрежавање и координација између програма у различитим земљама. </w:t>
      </w:r>
    </w:p>
    <w:p w:rsidR="00B30228" w:rsidRPr="00B30228" w:rsidRDefault="00B30228" w:rsidP="00B30228">
      <w:pPr>
        <w:pStyle w:val="Default"/>
        <w:ind w:left="720"/>
        <w:jc w:val="both"/>
        <w:rPr>
          <w:rFonts w:ascii="Times New Roman" w:hAnsi="Times New Roman" w:cs="Times New Roman"/>
          <w:u w:val="single"/>
          <w:lang w:val="sr-Cyrl-CS"/>
        </w:rPr>
      </w:pPr>
    </w:p>
    <w:p w:rsidR="00C80AB6" w:rsidRPr="008B4680" w:rsidRDefault="00B30228" w:rsidP="00C00AA1">
      <w:pPr>
        <w:pStyle w:val="Default"/>
        <w:jc w:val="both"/>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Инструмент за МСП</w:t>
      </w:r>
    </w:p>
    <w:p w:rsidR="00C00AA1" w:rsidRPr="00C00AA1" w:rsidRDefault="00C00AA1" w:rsidP="00C00AA1">
      <w:pPr>
        <w:pStyle w:val="Default"/>
        <w:jc w:val="both"/>
        <w:rPr>
          <w:rFonts w:ascii="Times New Roman" w:hAnsi="Times New Roman" w:cs="Times New Roman"/>
          <w:color w:val="auto"/>
          <w:u w:val="single"/>
          <w:lang w:val="sr-Cyrl-CS"/>
        </w:rPr>
      </w:pPr>
    </w:p>
    <w:p w:rsidR="00C80AB6" w:rsidRPr="00C00AA1" w:rsidRDefault="00B30228" w:rsidP="00C00AA1">
      <w:pPr>
        <w:pStyle w:val="Default"/>
        <w:jc w:val="both"/>
        <w:rPr>
          <w:rFonts w:ascii="Times New Roman" w:hAnsi="Times New Roman" w:cs="Times New Roman"/>
          <w:color w:val="auto"/>
        </w:rPr>
      </w:pPr>
      <w:r>
        <w:rPr>
          <w:rFonts w:ascii="Times New Roman" w:hAnsi="Times New Roman" w:cs="Times New Roman"/>
          <w:b/>
          <w:bCs/>
          <w:color w:val="auto"/>
          <w:lang w:val="sr-Cyrl-CS"/>
        </w:rPr>
        <w:t>За појединачна МСП или конзорцијуме МСП</w:t>
      </w:r>
      <w:r w:rsidR="00C80AB6" w:rsidRPr="00C00AA1">
        <w:rPr>
          <w:rFonts w:ascii="Times New Roman" w:hAnsi="Times New Roman" w:cs="Times New Roman"/>
          <w:b/>
          <w:bCs/>
          <w:color w:val="auto"/>
        </w:rPr>
        <w:t xml:space="preserve"> </w:t>
      </w:r>
    </w:p>
    <w:p w:rsidR="00C80AB6" w:rsidRPr="00C00AA1" w:rsidRDefault="00B30228" w:rsidP="00C00AA1">
      <w:pPr>
        <w:pStyle w:val="Default"/>
        <w:numPr>
          <w:ilvl w:val="0"/>
          <w:numId w:val="5"/>
        </w:numPr>
        <w:spacing w:after="195"/>
        <w:jc w:val="both"/>
        <w:rPr>
          <w:rFonts w:ascii="Times New Roman" w:hAnsi="Times New Roman" w:cs="Times New Roman"/>
          <w:color w:val="auto"/>
        </w:rPr>
      </w:pPr>
      <w:r>
        <w:rPr>
          <w:rFonts w:ascii="Times New Roman" w:hAnsi="Times New Roman" w:cs="Times New Roman"/>
          <w:b/>
          <w:bCs/>
          <w:color w:val="auto"/>
          <w:lang w:val="sr-Cyrl-CS"/>
        </w:rPr>
        <w:t xml:space="preserve">Фаза 1: </w:t>
      </w:r>
      <w:r w:rsidRPr="00B30228">
        <w:rPr>
          <w:rFonts w:ascii="Times New Roman" w:hAnsi="Times New Roman" w:cs="Times New Roman"/>
          <w:bCs/>
          <w:color w:val="auto"/>
          <w:lang w:val="sr-Cyrl-CS"/>
        </w:rPr>
        <w:t>Студија изводљивости за верификацију технолошке/практичне, као и економске одрживости идеје</w:t>
      </w:r>
    </w:p>
    <w:p w:rsidR="00C80AB6" w:rsidRPr="00B30228" w:rsidRDefault="00B30228" w:rsidP="00B30228">
      <w:pPr>
        <w:pStyle w:val="Default"/>
        <w:numPr>
          <w:ilvl w:val="0"/>
          <w:numId w:val="5"/>
        </w:numPr>
        <w:jc w:val="both"/>
        <w:rPr>
          <w:rFonts w:ascii="Times New Roman" w:hAnsi="Times New Roman" w:cs="Times New Roman"/>
          <w:color w:val="auto"/>
        </w:rPr>
      </w:pPr>
      <w:r w:rsidRPr="00B30228">
        <w:rPr>
          <w:rFonts w:ascii="Times New Roman" w:hAnsi="Times New Roman" w:cs="Times New Roman"/>
          <w:b/>
          <w:color w:val="auto"/>
          <w:lang w:val="sr-Cyrl-CS"/>
        </w:rPr>
        <w:t>Фаза 2:</w:t>
      </w:r>
      <w:r>
        <w:rPr>
          <w:rFonts w:ascii="Times New Roman" w:hAnsi="Times New Roman" w:cs="Times New Roman"/>
          <w:color w:val="auto"/>
          <w:lang w:val="sr-Cyrl-CS"/>
        </w:rPr>
        <w:t xml:space="preserve"> Иновациони пројекти који демонтрирају потенцијал у смислу конкуретности предузећа и раста који је утемељен у стратешком плану пословања</w:t>
      </w:r>
      <w:r w:rsidR="00C80AB6" w:rsidRPr="00B30228">
        <w:rPr>
          <w:rFonts w:ascii="Times New Roman" w:hAnsi="Times New Roman" w:cs="Times New Roman"/>
          <w:color w:val="auto"/>
        </w:rPr>
        <w:t xml:space="preserve"> </w:t>
      </w:r>
    </w:p>
    <w:p w:rsidR="00C80AB6" w:rsidRPr="00C00AA1" w:rsidRDefault="00C80AB6" w:rsidP="00C00AA1">
      <w:pPr>
        <w:pStyle w:val="Default"/>
        <w:jc w:val="both"/>
        <w:rPr>
          <w:rFonts w:ascii="Times New Roman" w:hAnsi="Times New Roman" w:cs="Times New Roman"/>
          <w:color w:val="auto"/>
        </w:rPr>
      </w:pPr>
    </w:p>
    <w:p w:rsidR="00C80AB6" w:rsidRDefault="00B30228" w:rsidP="00C00AA1">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Предлози пројеката у Фази 2 би требало да се заснивају на стратешком плану пословања који је развијен, било кроз Фазу 1, било на неки други начин. </w:t>
      </w:r>
    </w:p>
    <w:p w:rsidR="00B30228" w:rsidRPr="00B30228" w:rsidRDefault="00B30228" w:rsidP="00C00AA1">
      <w:pPr>
        <w:pStyle w:val="Default"/>
        <w:jc w:val="both"/>
        <w:rPr>
          <w:rFonts w:ascii="Times New Roman" w:hAnsi="Times New Roman" w:cs="Times New Roman"/>
          <w:lang w:val="sr-Cyrl-CS"/>
        </w:rPr>
      </w:pPr>
    </w:p>
    <w:p w:rsidR="00C00AA1" w:rsidRPr="008B4680" w:rsidRDefault="00B30228" w:rsidP="00C00AA1">
      <w:pPr>
        <w:pStyle w:val="Default"/>
        <w:jc w:val="both"/>
        <w:rPr>
          <w:rFonts w:ascii="Times New Roman" w:hAnsi="Times New Roman" w:cs="Times New Roman"/>
          <w:color w:val="auto"/>
          <w:sz w:val="28"/>
          <w:szCs w:val="28"/>
          <w:lang w:val="sr-Cyrl-CS"/>
        </w:rPr>
      </w:pPr>
      <w:r w:rsidRPr="008B4680">
        <w:rPr>
          <w:rFonts w:ascii="Times New Roman" w:hAnsi="Times New Roman" w:cs="Times New Roman"/>
          <w:b/>
          <w:bCs/>
          <w:color w:val="auto"/>
          <w:sz w:val="28"/>
          <w:szCs w:val="28"/>
          <w:u w:val="single"/>
          <w:lang w:val="sr-Cyrl-CS"/>
        </w:rPr>
        <w:t>ЕРАНЕТ суфинансирање</w:t>
      </w:r>
    </w:p>
    <w:p w:rsidR="00C00AA1" w:rsidRDefault="00C00AA1" w:rsidP="00C00AA1">
      <w:pPr>
        <w:pStyle w:val="Default"/>
        <w:jc w:val="both"/>
        <w:rPr>
          <w:rFonts w:ascii="Times New Roman" w:hAnsi="Times New Roman" w:cs="Times New Roman"/>
          <w:color w:val="auto"/>
          <w:lang w:val="sr-Cyrl-CS"/>
        </w:rPr>
      </w:pPr>
    </w:p>
    <w:p w:rsidR="00C80AB6" w:rsidRPr="00391D71" w:rsidRDefault="00B30228" w:rsidP="00C80AB6">
      <w:pPr>
        <w:pStyle w:val="Default"/>
        <w:numPr>
          <w:ilvl w:val="0"/>
          <w:numId w:val="6"/>
        </w:numPr>
        <w:jc w:val="both"/>
        <w:rPr>
          <w:rFonts w:ascii="Times New Roman" w:hAnsi="Times New Roman" w:cs="Times New Roman"/>
          <w:color w:val="auto"/>
          <w:lang w:val="sr-Cyrl-CS"/>
        </w:rPr>
      </w:pPr>
      <w:r w:rsidRPr="00391D71">
        <w:rPr>
          <w:rFonts w:ascii="Times New Roman" w:hAnsi="Times New Roman" w:cs="Times New Roman"/>
          <w:color w:val="auto"/>
          <w:lang w:val="sr-Cyrl-CS"/>
        </w:rPr>
        <w:t>Акције за подршку јавно-јавним партнерствима у припреми, успостављању мрежних структура</w:t>
      </w:r>
      <w:r w:rsidR="00391D71" w:rsidRPr="00391D71">
        <w:rPr>
          <w:rFonts w:ascii="Times New Roman" w:hAnsi="Times New Roman" w:cs="Times New Roman"/>
          <w:color w:val="auto"/>
          <w:lang w:val="sr-Cyrl-CS"/>
        </w:rPr>
        <w:t xml:space="preserve">, пројектовању, имплементацији и координацији заједничких активности, као иза надопуњавање транснационалних позива за подношење пројеката од стране Уније. </w:t>
      </w:r>
    </w:p>
    <w:p w:rsidR="00C80AB6" w:rsidRPr="00C00AA1" w:rsidRDefault="00C80AB6" w:rsidP="00C80AB6">
      <w:pPr>
        <w:pStyle w:val="Default"/>
        <w:rPr>
          <w:rFonts w:ascii="Times New Roman" w:hAnsi="Times New Roman" w:cs="Times New Roman"/>
        </w:rPr>
      </w:pPr>
    </w:p>
    <w:p w:rsidR="00C80AB6" w:rsidRPr="008B4680" w:rsidRDefault="00391D71" w:rsidP="00C80AB6">
      <w:pPr>
        <w:pStyle w:val="Default"/>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 xml:space="preserve">Суфинансирање предкомерцијалних набавки </w:t>
      </w:r>
      <w:r w:rsidR="00C80AB6" w:rsidRPr="008B4680">
        <w:rPr>
          <w:rFonts w:ascii="Times New Roman" w:hAnsi="Times New Roman" w:cs="Times New Roman"/>
          <w:b/>
          <w:bCs/>
          <w:color w:val="auto"/>
          <w:sz w:val="28"/>
          <w:szCs w:val="28"/>
          <w:u w:val="single"/>
        </w:rPr>
        <w:t xml:space="preserve">(PCP Cofund) </w:t>
      </w:r>
    </w:p>
    <w:p w:rsidR="00C00AA1" w:rsidRPr="00C00AA1" w:rsidRDefault="00C00AA1" w:rsidP="00C80AB6">
      <w:pPr>
        <w:pStyle w:val="Default"/>
        <w:rPr>
          <w:rFonts w:ascii="Times New Roman" w:hAnsi="Times New Roman" w:cs="Times New Roman"/>
          <w:color w:val="auto"/>
          <w:u w:val="single"/>
          <w:lang w:val="sr-Cyrl-CS"/>
        </w:rPr>
      </w:pPr>
    </w:p>
    <w:p w:rsidR="00C80AB6" w:rsidRPr="00391D71" w:rsidRDefault="00391D71" w:rsidP="00C00AA1">
      <w:pPr>
        <w:pStyle w:val="Default"/>
        <w:numPr>
          <w:ilvl w:val="0"/>
          <w:numId w:val="6"/>
        </w:numPr>
        <w:spacing w:after="194"/>
        <w:jc w:val="both"/>
        <w:rPr>
          <w:rFonts w:ascii="Times New Roman" w:hAnsi="Times New Roman" w:cs="Times New Roman"/>
          <w:color w:val="auto"/>
        </w:rPr>
      </w:pPr>
      <w:r w:rsidRPr="00391D71">
        <w:rPr>
          <w:rFonts w:ascii="Times New Roman" w:hAnsi="Times New Roman" w:cs="Times New Roman"/>
          <w:color w:val="auto"/>
          <w:lang w:val="sr-Cyrl-CS"/>
        </w:rPr>
        <w:t xml:space="preserve">Акције за подршку припреми, јединственој заједничкој набавци и имплементацији уговора који се односе на сервисе из области истраживања и развоја и додатне  координационе активности с њима у вези. </w:t>
      </w:r>
    </w:p>
    <w:p w:rsidR="00C80AB6" w:rsidRPr="00391D71" w:rsidRDefault="00C80AB6" w:rsidP="00C80AB6">
      <w:pPr>
        <w:pStyle w:val="Default"/>
        <w:numPr>
          <w:ilvl w:val="0"/>
          <w:numId w:val="6"/>
        </w:numPr>
        <w:jc w:val="both"/>
        <w:rPr>
          <w:rFonts w:ascii="Times New Roman" w:hAnsi="Times New Roman" w:cs="Times New Roman"/>
          <w:color w:val="auto"/>
          <w:lang w:val="sr-Cyrl-CS"/>
        </w:rPr>
      </w:pPr>
      <w:r w:rsidRPr="00391D71">
        <w:rPr>
          <w:rFonts w:ascii="Times New Roman" w:hAnsi="Times New Roman" w:cs="Times New Roman"/>
          <w:color w:val="auto"/>
        </w:rPr>
        <w:t>“</w:t>
      </w:r>
      <w:r w:rsidR="00391D71" w:rsidRPr="00391D71">
        <w:rPr>
          <w:rFonts w:ascii="Times New Roman" w:hAnsi="Times New Roman" w:cs="Times New Roman"/>
          <w:color w:val="auto"/>
          <w:lang w:val="sr-Cyrl-CS"/>
        </w:rPr>
        <w:t>Предкомерцијална набавка</w:t>
      </w:r>
      <w:r w:rsidRPr="00391D71">
        <w:rPr>
          <w:rFonts w:ascii="Times New Roman" w:hAnsi="Times New Roman" w:cs="Times New Roman"/>
          <w:color w:val="auto"/>
        </w:rPr>
        <w:t xml:space="preserve">” – </w:t>
      </w:r>
      <w:r w:rsidR="00391D71" w:rsidRPr="00391D71">
        <w:rPr>
          <w:rFonts w:ascii="Times New Roman" w:hAnsi="Times New Roman" w:cs="Times New Roman"/>
          <w:color w:val="auto"/>
          <w:lang w:val="sr-Cyrl-CS"/>
        </w:rPr>
        <w:t xml:space="preserve">набавка сервиса из области истраживања и развоја која подразумева поделу ризика и добити под тржишним условима и развој конкурентности у фазама, при чему је фаза истраживања и развоја одвојена од фазе стварања комерцијалних количина крајњих производа. </w:t>
      </w:r>
    </w:p>
    <w:p w:rsidR="00C80AB6" w:rsidRPr="00C00AA1" w:rsidRDefault="00C80AB6" w:rsidP="00C80AB6">
      <w:pPr>
        <w:pStyle w:val="Default"/>
        <w:rPr>
          <w:rFonts w:ascii="Times New Roman" w:hAnsi="Times New Roman" w:cs="Times New Roman"/>
        </w:rPr>
      </w:pPr>
    </w:p>
    <w:p w:rsidR="00C00AA1" w:rsidRDefault="00C00AA1" w:rsidP="00C80AB6">
      <w:pPr>
        <w:pStyle w:val="Default"/>
        <w:rPr>
          <w:rFonts w:ascii="Times New Roman" w:hAnsi="Times New Roman" w:cs="Times New Roman"/>
          <w:b/>
          <w:bCs/>
          <w:color w:val="auto"/>
          <w:u w:val="single"/>
          <w:lang w:val="sr-Cyrl-CS"/>
        </w:rPr>
      </w:pPr>
    </w:p>
    <w:p w:rsidR="00C00AA1" w:rsidRDefault="00C00AA1" w:rsidP="00C80AB6">
      <w:pPr>
        <w:pStyle w:val="Default"/>
        <w:rPr>
          <w:rFonts w:ascii="Times New Roman" w:hAnsi="Times New Roman" w:cs="Times New Roman"/>
          <w:b/>
          <w:bCs/>
          <w:color w:val="auto"/>
          <w:u w:val="single"/>
          <w:lang w:val="sr-Cyrl-CS"/>
        </w:rPr>
      </w:pPr>
    </w:p>
    <w:p w:rsidR="00C00AA1" w:rsidRDefault="00C00AA1" w:rsidP="00C80AB6">
      <w:pPr>
        <w:pStyle w:val="Default"/>
        <w:rPr>
          <w:rFonts w:ascii="Times New Roman" w:hAnsi="Times New Roman" w:cs="Times New Roman"/>
          <w:b/>
          <w:bCs/>
          <w:color w:val="auto"/>
          <w:u w:val="single"/>
          <w:lang w:val="sr-Cyrl-CS"/>
        </w:rPr>
      </w:pPr>
    </w:p>
    <w:p w:rsidR="00391D71" w:rsidRDefault="00391D71" w:rsidP="00C80AB6">
      <w:pPr>
        <w:pStyle w:val="Default"/>
        <w:rPr>
          <w:rFonts w:ascii="Times New Roman" w:hAnsi="Times New Roman" w:cs="Times New Roman"/>
          <w:b/>
          <w:bCs/>
          <w:color w:val="auto"/>
          <w:u w:val="single"/>
          <w:lang w:val="sr-Cyrl-CS"/>
        </w:rPr>
      </w:pPr>
    </w:p>
    <w:p w:rsidR="00391D71" w:rsidRDefault="00391D71" w:rsidP="00C80AB6">
      <w:pPr>
        <w:pStyle w:val="Default"/>
        <w:rPr>
          <w:rFonts w:ascii="Times New Roman" w:hAnsi="Times New Roman" w:cs="Times New Roman"/>
          <w:b/>
          <w:bCs/>
          <w:color w:val="auto"/>
          <w:u w:val="single"/>
          <w:lang w:val="sr-Cyrl-CS"/>
        </w:rPr>
      </w:pPr>
    </w:p>
    <w:p w:rsidR="00391D71" w:rsidRDefault="00391D71" w:rsidP="00C80AB6">
      <w:pPr>
        <w:pStyle w:val="Default"/>
        <w:rPr>
          <w:rFonts w:ascii="Times New Roman" w:hAnsi="Times New Roman" w:cs="Times New Roman"/>
          <w:b/>
          <w:bCs/>
          <w:color w:val="auto"/>
          <w:u w:val="single"/>
          <w:lang w:val="sr-Cyrl-CS"/>
        </w:rPr>
      </w:pPr>
    </w:p>
    <w:p w:rsidR="00391D71" w:rsidRDefault="00391D71" w:rsidP="00C80AB6">
      <w:pPr>
        <w:pStyle w:val="Default"/>
        <w:rPr>
          <w:rFonts w:ascii="Times New Roman" w:hAnsi="Times New Roman" w:cs="Times New Roman"/>
          <w:b/>
          <w:bCs/>
          <w:color w:val="auto"/>
          <w:u w:val="single"/>
          <w:lang w:val="sr-Cyrl-CS"/>
        </w:rPr>
      </w:pPr>
    </w:p>
    <w:p w:rsidR="00C80AB6" w:rsidRPr="008B4680" w:rsidRDefault="00391D71" w:rsidP="00C80AB6">
      <w:pPr>
        <w:pStyle w:val="Default"/>
        <w:rPr>
          <w:rFonts w:ascii="Times New Roman" w:hAnsi="Times New Roman" w:cs="Times New Roman"/>
          <w:b/>
          <w:bCs/>
          <w:color w:val="auto"/>
          <w:sz w:val="28"/>
          <w:szCs w:val="28"/>
          <w:u w:val="single"/>
          <w:lang w:val="sr-Cyrl-CS"/>
        </w:rPr>
      </w:pPr>
      <w:r w:rsidRPr="008B4680">
        <w:rPr>
          <w:rFonts w:ascii="Times New Roman" w:hAnsi="Times New Roman" w:cs="Times New Roman"/>
          <w:b/>
          <w:bCs/>
          <w:color w:val="auto"/>
          <w:sz w:val="28"/>
          <w:szCs w:val="28"/>
          <w:u w:val="single"/>
          <w:lang w:val="sr-Cyrl-CS"/>
        </w:rPr>
        <w:t xml:space="preserve">Суфинансирање јавних набавки иновативних </w:t>
      </w:r>
      <w:r w:rsidR="00C80AB6" w:rsidRPr="008B4680">
        <w:rPr>
          <w:rFonts w:ascii="Times New Roman" w:hAnsi="Times New Roman" w:cs="Times New Roman"/>
          <w:b/>
          <w:bCs/>
          <w:color w:val="auto"/>
          <w:sz w:val="28"/>
          <w:szCs w:val="28"/>
          <w:u w:val="single"/>
        </w:rPr>
        <w:t xml:space="preserve">(PPI Cofund) </w:t>
      </w:r>
    </w:p>
    <w:p w:rsidR="00C00AA1" w:rsidRPr="00C00AA1" w:rsidRDefault="00C00AA1" w:rsidP="00C80AB6">
      <w:pPr>
        <w:pStyle w:val="Default"/>
        <w:rPr>
          <w:rFonts w:ascii="Times New Roman" w:hAnsi="Times New Roman" w:cs="Times New Roman"/>
          <w:color w:val="auto"/>
          <w:u w:val="single"/>
          <w:lang w:val="sr-Cyrl-CS"/>
        </w:rPr>
      </w:pPr>
    </w:p>
    <w:p w:rsidR="00C80AB6" w:rsidRPr="00391D71" w:rsidRDefault="00391D71" w:rsidP="008B4680">
      <w:pPr>
        <w:pStyle w:val="Default"/>
        <w:numPr>
          <w:ilvl w:val="0"/>
          <w:numId w:val="7"/>
        </w:numPr>
        <w:spacing w:after="194"/>
        <w:jc w:val="both"/>
        <w:rPr>
          <w:rFonts w:ascii="Times New Roman" w:hAnsi="Times New Roman" w:cs="Times New Roman"/>
          <w:color w:val="auto"/>
        </w:rPr>
      </w:pPr>
      <w:r w:rsidRPr="00391D71">
        <w:rPr>
          <w:rFonts w:ascii="Times New Roman" w:hAnsi="Times New Roman" w:cs="Times New Roman"/>
          <w:color w:val="auto"/>
          <w:lang w:val="sr-Cyrl-CS"/>
        </w:rPr>
        <w:t>Акције за подршку у припреми, јединственој заједничкој набавци и имплементацији уговора за иновативна решења и додатне координационе активности у вези са тим</w:t>
      </w:r>
      <w:r>
        <w:rPr>
          <w:rFonts w:ascii="Times New Roman" w:hAnsi="Times New Roman" w:cs="Times New Roman"/>
          <w:color w:val="auto"/>
          <w:lang w:val="sr-Cyrl-CS"/>
        </w:rPr>
        <w:t>.</w:t>
      </w:r>
      <w:r w:rsidR="00C80AB6" w:rsidRPr="00391D71">
        <w:rPr>
          <w:rFonts w:ascii="Times New Roman" w:hAnsi="Times New Roman" w:cs="Times New Roman"/>
          <w:color w:val="auto"/>
        </w:rPr>
        <w:t xml:space="preserve"> </w:t>
      </w:r>
    </w:p>
    <w:p w:rsidR="00C80AB6" w:rsidRPr="00C00AA1" w:rsidRDefault="00C80AB6" w:rsidP="008B4680">
      <w:pPr>
        <w:pStyle w:val="Default"/>
        <w:numPr>
          <w:ilvl w:val="0"/>
          <w:numId w:val="7"/>
        </w:numPr>
        <w:jc w:val="both"/>
        <w:rPr>
          <w:rFonts w:ascii="Times New Roman" w:hAnsi="Times New Roman" w:cs="Times New Roman"/>
          <w:color w:val="auto"/>
        </w:rPr>
      </w:pPr>
      <w:r w:rsidRPr="00391D71">
        <w:rPr>
          <w:rFonts w:ascii="Times New Roman" w:hAnsi="Times New Roman" w:cs="Times New Roman"/>
          <w:color w:val="auto"/>
        </w:rPr>
        <w:t>“</w:t>
      </w:r>
      <w:r w:rsidR="00391D71">
        <w:rPr>
          <w:rFonts w:ascii="Times New Roman" w:hAnsi="Times New Roman" w:cs="Times New Roman"/>
          <w:color w:val="auto"/>
          <w:lang w:val="sr-Cyrl-CS"/>
        </w:rPr>
        <w:t>Јавна набавка иновативних решења</w:t>
      </w:r>
      <w:r w:rsidRPr="00391D71">
        <w:rPr>
          <w:rFonts w:ascii="Times New Roman" w:hAnsi="Times New Roman" w:cs="Times New Roman"/>
          <w:color w:val="auto"/>
        </w:rPr>
        <w:t xml:space="preserve">” </w:t>
      </w:r>
      <w:r w:rsidR="00391D71">
        <w:rPr>
          <w:rFonts w:ascii="Times New Roman" w:hAnsi="Times New Roman" w:cs="Times New Roman"/>
          <w:color w:val="auto"/>
        </w:rPr>
        <w:t>–</w:t>
      </w:r>
      <w:r w:rsidRPr="00391D71">
        <w:rPr>
          <w:rFonts w:ascii="Times New Roman" w:hAnsi="Times New Roman" w:cs="Times New Roman"/>
          <w:color w:val="auto"/>
        </w:rPr>
        <w:t xml:space="preserve"> </w:t>
      </w:r>
      <w:r w:rsidR="00391D71">
        <w:rPr>
          <w:rFonts w:ascii="Times New Roman" w:hAnsi="Times New Roman" w:cs="Times New Roman"/>
          <w:color w:val="auto"/>
          <w:lang w:val="sr-Cyrl-CS"/>
        </w:rPr>
        <w:t xml:space="preserve">набавка при којој наручилац има улогу </w:t>
      </w:r>
      <w:r w:rsidRPr="00391D71">
        <w:rPr>
          <w:rFonts w:ascii="Times New Roman" w:hAnsi="Times New Roman" w:cs="Times New Roman"/>
          <w:color w:val="auto"/>
        </w:rPr>
        <w:t>“</w:t>
      </w:r>
      <w:r w:rsidR="00391D71">
        <w:rPr>
          <w:rFonts w:ascii="Times New Roman" w:hAnsi="Times New Roman" w:cs="Times New Roman"/>
          <w:color w:val="auto"/>
          <w:lang w:val="sr-Cyrl-CS"/>
        </w:rPr>
        <w:t>првог купца</w:t>
      </w:r>
      <w:r w:rsidRPr="00391D71">
        <w:rPr>
          <w:rFonts w:ascii="Times New Roman" w:hAnsi="Times New Roman" w:cs="Times New Roman"/>
          <w:color w:val="auto"/>
        </w:rPr>
        <w:t>”</w:t>
      </w:r>
      <w:r w:rsidRPr="00391D71">
        <w:rPr>
          <w:rFonts w:ascii="Times New Roman" w:hAnsi="Times New Roman" w:cs="Times New Roman"/>
          <w:i/>
          <w:iCs/>
          <w:color w:val="auto"/>
        </w:rPr>
        <w:t xml:space="preserve"> (launch customer</w:t>
      </w:r>
      <w:r w:rsidRPr="00391D71">
        <w:rPr>
          <w:rFonts w:ascii="Times New Roman" w:hAnsi="Times New Roman" w:cs="Times New Roman"/>
          <w:color w:val="auto"/>
        </w:rPr>
        <w:t xml:space="preserve">) </w:t>
      </w:r>
      <w:r w:rsidR="00391D71">
        <w:rPr>
          <w:rFonts w:ascii="Times New Roman" w:hAnsi="Times New Roman" w:cs="Times New Roman"/>
          <w:color w:val="auto"/>
          <w:lang w:val="sr-Cyrl-CS"/>
        </w:rPr>
        <w:t xml:space="preserve">и купује иновативна добра или услуге који још увек нису широко доступни на комерцијалној основи. </w:t>
      </w:r>
    </w:p>
    <w:p w:rsidR="00C80AB6" w:rsidRPr="00C00AA1" w:rsidRDefault="00C80AB6" w:rsidP="00C80AB6">
      <w:pPr>
        <w:pStyle w:val="Default"/>
        <w:rPr>
          <w:rFonts w:ascii="Times New Roman" w:hAnsi="Times New Roman" w:cs="Times New Roman"/>
          <w:color w:val="auto"/>
          <w:lang w:val="sr-Cyrl-CS"/>
        </w:rPr>
      </w:pPr>
    </w:p>
    <w:p w:rsidR="00C80AB6" w:rsidRPr="00C00AA1" w:rsidRDefault="00C80AB6" w:rsidP="00C80AB6">
      <w:pPr>
        <w:pStyle w:val="Default"/>
        <w:rPr>
          <w:rFonts w:ascii="Times New Roman" w:hAnsi="Times New Roman" w:cs="Times New Roman"/>
        </w:rPr>
      </w:pPr>
    </w:p>
    <w:p w:rsidR="00C80AB6" w:rsidRPr="00391D71" w:rsidRDefault="00391D71" w:rsidP="00C80AB6">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Услови за партиципацију</w:t>
      </w:r>
    </w:p>
    <w:p w:rsidR="00C00AA1" w:rsidRPr="00C00AA1" w:rsidRDefault="00C00AA1" w:rsidP="00C80AB6">
      <w:pPr>
        <w:pStyle w:val="Default"/>
        <w:rPr>
          <w:rFonts w:ascii="Times New Roman" w:hAnsi="Times New Roman" w:cs="Times New Roman"/>
          <w:color w:val="auto"/>
          <w:sz w:val="28"/>
          <w:szCs w:val="28"/>
          <w:u w:val="single"/>
          <w:lang w:val="sr-Cyrl-CS"/>
        </w:rPr>
      </w:pPr>
    </w:p>
    <w:p w:rsidR="00C80AB6" w:rsidRPr="00C00AA1" w:rsidRDefault="00C80AB6" w:rsidP="00C80AB6">
      <w:pPr>
        <w:pStyle w:val="Default"/>
        <w:rPr>
          <w:rFonts w:ascii="Times New Roman" w:hAnsi="Times New Roman" w:cs="Times New Roman"/>
          <w:color w:val="auto"/>
        </w:rPr>
      </w:pPr>
      <w:r w:rsidRPr="00C00AA1">
        <w:rPr>
          <w:rFonts w:ascii="Times New Roman" w:hAnsi="Times New Roman" w:cs="Times New Roman"/>
          <w:color w:val="auto"/>
        </w:rPr>
        <w:t>•</w:t>
      </w:r>
      <w:r w:rsidR="00391D71">
        <w:rPr>
          <w:rFonts w:ascii="Times New Roman" w:hAnsi="Times New Roman" w:cs="Times New Roman"/>
          <w:b/>
          <w:bCs/>
          <w:color w:val="auto"/>
          <w:lang w:val="sr-Cyrl-CS"/>
        </w:rPr>
        <w:t>Минимални услови</w:t>
      </w:r>
      <w:r w:rsidRPr="00C00AA1">
        <w:rPr>
          <w:rFonts w:ascii="Times New Roman" w:hAnsi="Times New Roman" w:cs="Times New Roman"/>
          <w:b/>
          <w:bCs/>
          <w:color w:val="auto"/>
        </w:rPr>
        <w:t xml:space="preserve"> </w:t>
      </w:r>
    </w:p>
    <w:p w:rsidR="00C80AB6" w:rsidRDefault="00391D71" w:rsidP="00C00AA1">
      <w:pPr>
        <w:pStyle w:val="Default"/>
        <w:numPr>
          <w:ilvl w:val="0"/>
          <w:numId w:val="8"/>
        </w:numPr>
        <w:rPr>
          <w:rFonts w:ascii="Times New Roman" w:hAnsi="Times New Roman" w:cs="Times New Roman"/>
          <w:color w:val="auto"/>
          <w:lang w:val="sr-Cyrl-CS"/>
        </w:rPr>
      </w:pPr>
      <w:r>
        <w:rPr>
          <w:rFonts w:ascii="Times New Roman" w:hAnsi="Times New Roman" w:cs="Times New Roman"/>
          <w:color w:val="auto"/>
          <w:lang w:val="sr-Cyrl-CS"/>
        </w:rPr>
        <w:t xml:space="preserve">За стандарде заједничке акције </w:t>
      </w:r>
    </w:p>
    <w:p w:rsidR="00C00AA1" w:rsidRPr="00C00AA1" w:rsidRDefault="00C00AA1" w:rsidP="00C80AB6">
      <w:pPr>
        <w:pStyle w:val="Default"/>
        <w:rPr>
          <w:rFonts w:ascii="Times New Roman" w:hAnsi="Times New Roman" w:cs="Times New Roman"/>
          <w:color w:val="auto"/>
          <w:lang w:val="sr-Cyrl-CS"/>
        </w:rPr>
      </w:pPr>
    </w:p>
    <w:p w:rsidR="00C80AB6" w:rsidRPr="00C00AA1" w:rsidRDefault="00C80AB6" w:rsidP="00C80AB6">
      <w:pPr>
        <w:pStyle w:val="Default"/>
        <w:rPr>
          <w:rFonts w:ascii="Times New Roman" w:hAnsi="Times New Roman" w:cs="Times New Roman"/>
          <w:color w:val="auto"/>
        </w:rPr>
      </w:pPr>
      <w:r w:rsidRPr="00C00AA1">
        <w:rPr>
          <w:rFonts w:ascii="Times New Roman" w:hAnsi="Times New Roman" w:cs="Times New Roman"/>
          <w:color w:val="auto"/>
        </w:rPr>
        <w:t>•</w:t>
      </w:r>
      <w:r w:rsidR="00391D71">
        <w:rPr>
          <w:rFonts w:ascii="Times New Roman" w:hAnsi="Times New Roman" w:cs="Times New Roman"/>
          <w:b/>
          <w:bCs/>
          <w:color w:val="auto"/>
          <w:lang w:val="sr-Cyrl-CS"/>
        </w:rPr>
        <w:t>Најмање три правна лица из различитих држава чланица</w:t>
      </w:r>
      <w:r w:rsidRPr="00C00AA1">
        <w:rPr>
          <w:rFonts w:ascii="Times New Roman" w:hAnsi="Times New Roman" w:cs="Times New Roman"/>
          <w:b/>
          <w:bCs/>
          <w:color w:val="auto"/>
        </w:rPr>
        <w:t xml:space="preserve"> (</w:t>
      </w:r>
      <w:r w:rsidRPr="00C00AA1">
        <w:rPr>
          <w:rFonts w:ascii="Times New Roman" w:hAnsi="Times New Roman" w:cs="Times New Roman"/>
          <w:b/>
          <w:bCs/>
          <w:i/>
          <w:iCs/>
          <w:color w:val="auto"/>
        </w:rPr>
        <w:t>MS</w:t>
      </w:r>
      <w:r w:rsidRPr="00C00AA1">
        <w:rPr>
          <w:rFonts w:ascii="Times New Roman" w:hAnsi="Times New Roman" w:cs="Times New Roman"/>
          <w:b/>
          <w:bCs/>
          <w:color w:val="auto"/>
        </w:rPr>
        <w:t xml:space="preserve">)/ </w:t>
      </w:r>
      <w:r w:rsidR="001476CA">
        <w:rPr>
          <w:rFonts w:ascii="Times New Roman" w:hAnsi="Times New Roman" w:cs="Times New Roman"/>
          <w:b/>
          <w:bCs/>
          <w:color w:val="auto"/>
          <w:lang w:val="sr-Cyrl-CS"/>
        </w:rPr>
        <w:t>придружених држава</w:t>
      </w:r>
      <w:r w:rsidRPr="00C00AA1">
        <w:rPr>
          <w:rFonts w:ascii="Times New Roman" w:hAnsi="Times New Roman" w:cs="Times New Roman"/>
          <w:b/>
          <w:bCs/>
          <w:color w:val="auto"/>
        </w:rPr>
        <w:t xml:space="preserve"> (</w:t>
      </w:r>
      <w:r w:rsidRPr="00C00AA1">
        <w:rPr>
          <w:rFonts w:ascii="Times New Roman" w:hAnsi="Times New Roman" w:cs="Times New Roman"/>
          <w:b/>
          <w:bCs/>
          <w:i/>
          <w:iCs/>
          <w:color w:val="auto"/>
        </w:rPr>
        <w:t>AC</w:t>
      </w:r>
      <w:r w:rsidRPr="00C00AA1">
        <w:rPr>
          <w:rFonts w:ascii="Times New Roman" w:hAnsi="Times New Roman" w:cs="Times New Roman"/>
          <w:b/>
          <w:bCs/>
          <w:color w:val="auto"/>
        </w:rPr>
        <w:t xml:space="preserve">) </w:t>
      </w:r>
    </w:p>
    <w:p w:rsidR="001476CA" w:rsidRDefault="001476CA" w:rsidP="00C00AA1">
      <w:pPr>
        <w:pStyle w:val="Default"/>
        <w:numPr>
          <w:ilvl w:val="0"/>
          <w:numId w:val="8"/>
        </w:numPr>
        <w:rPr>
          <w:rFonts w:ascii="Times New Roman" w:hAnsi="Times New Roman" w:cs="Times New Roman"/>
          <w:color w:val="auto"/>
          <w:lang w:val="sr-Cyrl-CS"/>
        </w:rPr>
      </w:pPr>
      <w:r w:rsidRPr="001476CA">
        <w:rPr>
          <w:rFonts w:ascii="Times New Roman" w:hAnsi="Times New Roman" w:cs="Times New Roman"/>
          <w:color w:val="auto"/>
          <w:lang w:val="sr-Cyrl-CS"/>
        </w:rPr>
        <w:t xml:space="preserve">За инструмент за МСП, програме суфинансирања, акције за координацију и подршку. </w:t>
      </w:r>
    </w:p>
    <w:p w:rsidR="00C80AB6" w:rsidRPr="001476CA" w:rsidRDefault="001476CA" w:rsidP="00C00AA1">
      <w:pPr>
        <w:pStyle w:val="Default"/>
        <w:numPr>
          <w:ilvl w:val="0"/>
          <w:numId w:val="8"/>
        </w:numPr>
        <w:rPr>
          <w:rFonts w:ascii="Times New Roman" w:hAnsi="Times New Roman" w:cs="Times New Roman"/>
          <w:color w:val="auto"/>
          <w:lang w:val="sr-Cyrl-CS"/>
        </w:rPr>
      </w:pPr>
      <w:r>
        <w:rPr>
          <w:rFonts w:ascii="Times New Roman" w:hAnsi="Times New Roman" w:cs="Times New Roman"/>
          <w:color w:val="auto"/>
          <w:lang w:val="sr-Cyrl-CS"/>
        </w:rPr>
        <w:t>Једно правно лице из државе чланице</w:t>
      </w:r>
      <w:r w:rsidR="00C80AB6" w:rsidRPr="001476CA">
        <w:rPr>
          <w:rFonts w:ascii="Times New Roman" w:hAnsi="Times New Roman" w:cs="Times New Roman"/>
          <w:color w:val="auto"/>
        </w:rPr>
        <w:t xml:space="preserve"> (</w:t>
      </w:r>
      <w:r w:rsidR="00C80AB6" w:rsidRPr="001476CA">
        <w:rPr>
          <w:rFonts w:ascii="Times New Roman" w:hAnsi="Times New Roman" w:cs="Times New Roman"/>
          <w:i/>
          <w:iCs/>
          <w:color w:val="auto"/>
        </w:rPr>
        <w:t>MS</w:t>
      </w:r>
      <w:r w:rsidR="00C80AB6" w:rsidRPr="001476CA">
        <w:rPr>
          <w:rFonts w:ascii="Times New Roman" w:hAnsi="Times New Roman" w:cs="Times New Roman"/>
          <w:color w:val="auto"/>
        </w:rPr>
        <w:t xml:space="preserve">)/ </w:t>
      </w:r>
      <w:r>
        <w:rPr>
          <w:rFonts w:ascii="Times New Roman" w:hAnsi="Times New Roman" w:cs="Times New Roman"/>
          <w:color w:val="auto"/>
          <w:lang w:val="sr-Cyrl-CS"/>
        </w:rPr>
        <w:t>придружене државе</w:t>
      </w:r>
      <w:r w:rsidR="00C80AB6" w:rsidRPr="001476CA">
        <w:rPr>
          <w:rFonts w:ascii="Times New Roman" w:hAnsi="Times New Roman" w:cs="Times New Roman"/>
          <w:color w:val="auto"/>
        </w:rPr>
        <w:t xml:space="preserve"> (</w:t>
      </w:r>
      <w:r w:rsidR="00C80AB6" w:rsidRPr="001476CA">
        <w:rPr>
          <w:rFonts w:ascii="Times New Roman" w:hAnsi="Times New Roman" w:cs="Times New Roman"/>
          <w:i/>
          <w:iCs/>
          <w:color w:val="auto"/>
        </w:rPr>
        <w:t>AC</w:t>
      </w:r>
      <w:r w:rsidR="00C80AB6" w:rsidRPr="001476CA">
        <w:rPr>
          <w:rFonts w:ascii="Times New Roman" w:hAnsi="Times New Roman" w:cs="Times New Roman"/>
          <w:color w:val="auto"/>
        </w:rPr>
        <w:t xml:space="preserve">) </w:t>
      </w:r>
    </w:p>
    <w:p w:rsidR="00C00AA1" w:rsidRPr="00C00AA1" w:rsidRDefault="00C00AA1" w:rsidP="00C80AB6">
      <w:pPr>
        <w:pStyle w:val="Default"/>
        <w:rPr>
          <w:rFonts w:ascii="Times New Roman" w:hAnsi="Times New Roman" w:cs="Times New Roman"/>
          <w:color w:val="auto"/>
          <w:lang w:val="sr-Cyrl-CS"/>
        </w:rPr>
      </w:pPr>
    </w:p>
    <w:p w:rsidR="00C80AB6" w:rsidRPr="00C00AA1" w:rsidRDefault="00C80AB6" w:rsidP="00C80AB6">
      <w:pPr>
        <w:pStyle w:val="Default"/>
        <w:rPr>
          <w:rFonts w:ascii="Times New Roman" w:hAnsi="Times New Roman" w:cs="Times New Roman"/>
          <w:color w:val="auto"/>
        </w:rPr>
      </w:pPr>
      <w:r w:rsidRPr="00C00AA1">
        <w:rPr>
          <w:rFonts w:ascii="Times New Roman" w:hAnsi="Times New Roman" w:cs="Times New Roman"/>
          <w:color w:val="auto"/>
        </w:rPr>
        <w:t>•</w:t>
      </w:r>
      <w:r w:rsidR="001476CA">
        <w:rPr>
          <w:rFonts w:ascii="Times New Roman" w:hAnsi="Times New Roman" w:cs="Times New Roman"/>
          <w:b/>
          <w:bCs/>
          <w:color w:val="auto"/>
          <w:lang w:val="sr-Cyrl-CS"/>
        </w:rPr>
        <w:t>Додатни услови</w:t>
      </w:r>
      <w:r w:rsidRPr="00C00AA1">
        <w:rPr>
          <w:rFonts w:ascii="Times New Roman" w:hAnsi="Times New Roman" w:cs="Times New Roman"/>
          <w:b/>
          <w:bCs/>
          <w:color w:val="auto"/>
        </w:rPr>
        <w:t xml:space="preserve"> </w:t>
      </w:r>
    </w:p>
    <w:p w:rsidR="00C80AB6" w:rsidRPr="00C00AA1" w:rsidRDefault="001476CA" w:rsidP="00C00AA1">
      <w:pPr>
        <w:pStyle w:val="Default"/>
        <w:numPr>
          <w:ilvl w:val="0"/>
          <w:numId w:val="9"/>
        </w:numPr>
        <w:rPr>
          <w:rFonts w:ascii="Times New Roman" w:hAnsi="Times New Roman" w:cs="Times New Roman"/>
          <w:color w:val="auto"/>
        </w:rPr>
      </w:pPr>
      <w:r>
        <w:rPr>
          <w:rFonts w:ascii="Times New Roman" w:hAnsi="Times New Roman" w:cs="Times New Roman"/>
          <w:color w:val="auto"/>
          <w:lang w:val="sr-Cyrl-CS"/>
        </w:rPr>
        <w:t xml:space="preserve">Биће дефинисано Програмом рада </w:t>
      </w:r>
      <w:r w:rsidR="00C80AB6" w:rsidRPr="00C00AA1">
        <w:rPr>
          <w:rFonts w:ascii="Times New Roman" w:hAnsi="Times New Roman" w:cs="Times New Roman"/>
          <w:color w:val="auto"/>
        </w:rPr>
        <w:t>(</w:t>
      </w:r>
      <w:r w:rsidR="00C80AB6" w:rsidRPr="00C00AA1">
        <w:rPr>
          <w:rFonts w:ascii="Times New Roman" w:hAnsi="Times New Roman" w:cs="Times New Roman"/>
          <w:i/>
          <w:iCs/>
          <w:color w:val="auto"/>
        </w:rPr>
        <w:t>WP</w:t>
      </w:r>
      <w:r w:rsidR="00C80AB6" w:rsidRPr="00C00AA1">
        <w:rPr>
          <w:rFonts w:ascii="Times New Roman" w:hAnsi="Times New Roman" w:cs="Times New Roman"/>
          <w:color w:val="auto"/>
        </w:rPr>
        <w:t xml:space="preserve">) </w:t>
      </w:r>
      <w:r>
        <w:rPr>
          <w:rFonts w:ascii="Times New Roman" w:hAnsi="Times New Roman" w:cs="Times New Roman"/>
          <w:color w:val="auto"/>
        </w:rPr>
        <w:t>–</w:t>
      </w:r>
      <w:r w:rsidR="00C80AB6" w:rsidRPr="00C00AA1">
        <w:rPr>
          <w:rFonts w:ascii="Times New Roman" w:hAnsi="Times New Roman" w:cs="Times New Roman"/>
          <w:color w:val="auto"/>
        </w:rPr>
        <w:t xml:space="preserve"> </w:t>
      </w:r>
      <w:r>
        <w:rPr>
          <w:rFonts w:ascii="Times New Roman" w:hAnsi="Times New Roman" w:cs="Times New Roman"/>
          <w:color w:val="auto"/>
          <w:lang w:val="sr-Cyrl-CS"/>
        </w:rPr>
        <w:t xml:space="preserve">нпр. Број учесника, тип учесника, итд. </w:t>
      </w:r>
    </w:p>
    <w:p w:rsidR="00C80AB6" w:rsidRPr="00C00AA1" w:rsidRDefault="00C80AB6" w:rsidP="00C80AB6">
      <w:pPr>
        <w:pStyle w:val="Default"/>
        <w:rPr>
          <w:rFonts w:ascii="Times New Roman" w:hAnsi="Times New Roman" w:cs="Times New Roman"/>
          <w:color w:val="auto"/>
          <w:lang w:val="sr-Cyrl-CS"/>
        </w:rPr>
      </w:pPr>
    </w:p>
    <w:p w:rsidR="00C80AB6" w:rsidRPr="00C00AA1" w:rsidRDefault="00C80AB6" w:rsidP="00C80AB6">
      <w:pPr>
        <w:pStyle w:val="Default"/>
        <w:rPr>
          <w:rFonts w:ascii="Times New Roman" w:hAnsi="Times New Roman" w:cs="Times New Roman"/>
        </w:rPr>
      </w:pPr>
    </w:p>
    <w:p w:rsidR="00C80AB6" w:rsidRPr="001476CA" w:rsidRDefault="001476CA" w:rsidP="00C80AB6">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Подобност за финансирање</w:t>
      </w:r>
    </w:p>
    <w:p w:rsidR="00C00AA1" w:rsidRPr="00C00AA1" w:rsidRDefault="00C00AA1" w:rsidP="00C80AB6">
      <w:pPr>
        <w:pStyle w:val="Default"/>
        <w:rPr>
          <w:rFonts w:ascii="Times New Roman" w:hAnsi="Times New Roman" w:cs="Times New Roman"/>
          <w:color w:val="auto"/>
          <w:sz w:val="28"/>
          <w:szCs w:val="28"/>
          <w:u w:val="single"/>
          <w:lang w:val="sr-Cyrl-CS"/>
        </w:rPr>
      </w:pPr>
    </w:p>
    <w:p w:rsidR="00C80AB6" w:rsidRPr="00C00AA1" w:rsidRDefault="00C80AB6" w:rsidP="00C80AB6">
      <w:pPr>
        <w:pStyle w:val="Default"/>
        <w:spacing w:after="194"/>
        <w:rPr>
          <w:rFonts w:ascii="Times New Roman" w:hAnsi="Times New Roman" w:cs="Times New Roman"/>
          <w:color w:val="auto"/>
        </w:rPr>
      </w:pPr>
      <w:r w:rsidRPr="00C00AA1">
        <w:rPr>
          <w:rFonts w:ascii="Times New Roman" w:hAnsi="Times New Roman" w:cs="Times New Roman"/>
          <w:color w:val="auto"/>
        </w:rPr>
        <w:t>•</w:t>
      </w:r>
      <w:r w:rsidR="001476CA">
        <w:rPr>
          <w:rFonts w:ascii="Times New Roman" w:hAnsi="Times New Roman" w:cs="Times New Roman"/>
          <w:color w:val="auto"/>
          <w:lang w:val="sr-Cyrl-CS"/>
        </w:rPr>
        <w:t xml:space="preserve">Субјекти основани у држави чланици/придруженој држави или трећој тржави акоје одређено Програмом рада </w:t>
      </w:r>
    </w:p>
    <w:p w:rsidR="001476CA" w:rsidRDefault="00C80AB6" w:rsidP="00C80AB6">
      <w:pPr>
        <w:pStyle w:val="Default"/>
        <w:spacing w:after="194"/>
        <w:rPr>
          <w:rFonts w:ascii="Times New Roman" w:hAnsi="Times New Roman" w:cs="Times New Roman"/>
          <w:color w:val="auto"/>
          <w:lang w:val="sr-Cyrl-CS"/>
        </w:rPr>
      </w:pPr>
      <w:r w:rsidRPr="00C00AA1">
        <w:rPr>
          <w:rFonts w:ascii="Times New Roman" w:hAnsi="Times New Roman" w:cs="Times New Roman"/>
          <w:color w:val="auto"/>
        </w:rPr>
        <w:t>•</w:t>
      </w:r>
      <w:r w:rsidR="001476CA">
        <w:rPr>
          <w:rFonts w:ascii="Times New Roman" w:hAnsi="Times New Roman" w:cs="Times New Roman"/>
          <w:color w:val="auto"/>
          <w:lang w:val="sr-Cyrl-CS"/>
        </w:rPr>
        <w:t xml:space="preserve">Субјекти успостављени у складу са правом Уније </w:t>
      </w:r>
    </w:p>
    <w:p w:rsidR="00C80AB6" w:rsidRPr="00C00AA1" w:rsidRDefault="00C80AB6" w:rsidP="00C80AB6">
      <w:pPr>
        <w:pStyle w:val="Default"/>
        <w:spacing w:after="194"/>
        <w:rPr>
          <w:rFonts w:ascii="Times New Roman" w:hAnsi="Times New Roman" w:cs="Times New Roman"/>
          <w:color w:val="auto"/>
        </w:rPr>
      </w:pPr>
      <w:r w:rsidRPr="00C00AA1">
        <w:rPr>
          <w:rFonts w:ascii="Times New Roman" w:hAnsi="Times New Roman" w:cs="Times New Roman"/>
          <w:color w:val="auto"/>
        </w:rPr>
        <w:t>•</w:t>
      </w:r>
      <w:r w:rsidR="001476CA">
        <w:rPr>
          <w:rFonts w:ascii="Times New Roman" w:hAnsi="Times New Roman" w:cs="Times New Roman"/>
          <w:color w:val="auto"/>
          <w:lang w:val="sr-Cyrl-CS"/>
        </w:rPr>
        <w:t xml:space="preserve">Европске међународне организације </w:t>
      </w:r>
    </w:p>
    <w:p w:rsidR="00013318" w:rsidRDefault="00C80AB6" w:rsidP="00FF13BA">
      <w:pPr>
        <w:pStyle w:val="Default"/>
        <w:rPr>
          <w:rFonts w:ascii="Times New Roman" w:hAnsi="Times New Roman" w:cs="Times New Roman"/>
          <w:color w:val="auto"/>
          <w:lang w:val="sr-Cyrl-CS"/>
        </w:rPr>
      </w:pPr>
      <w:r w:rsidRPr="00C00AA1">
        <w:rPr>
          <w:rFonts w:ascii="Times New Roman" w:hAnsi="Times New Roman" w:cs="Times New Roman"/>
          <w:color w:val="auto"/>
        </w:rPr>
        <w:t>•</w:t>
      </w:r>
      <w:r w:rsidR="00FF13BA">
        <w:rPr>
          <w:rFonts w:ascii="Times New Roman" w:hAnsi="Times New Roman" w:cs="Times New Roman"/>
          <w:color w:val="auto"/>
          <w:lang w:val="sr-Cyrl-CS"/>
        </w:rPr>
        <w:t xml:space="preserve">Други субјекти такође могу добити средства уколико је: </w:t>
      </w:r>
    </w:p>
    <w:p w:rsidR="00013318" w:rsidRDefault="00013318" w:rsidP="00FF13BA">
      <w:pPr>
        <w:pStyle w:val="Default"/>
        <w:rPr>
          <w:rFonts w:ascii="Times New Roman" w:hAnsi="Times New Roman" w:cs="Times New Roman"/>
          <w:color w:val="auto"/>
          <w:lang w:val="sr-Cyrl-CS"/>
        </w:rPr>
      </w:pPr>
      <w:r>
        <w:rPr>
          <w:rFonts w:ascii="Times New Roman" w:hAnsi="Times New Roman" w:cs="Times New Roman"/>
          <w:color w:val="auto"/>
          <w:lang w:val="sr-Cyrl-CS"/>
        </w:rPr>
        <w:t xml:space="preserve"> </w:t>
      </w:r>
    </w:p>
    <w:p w:rsidR="00C80AB6" w:rsidRPr="00C00AA1" w:rsidRDefault="00013318" w:rsidP="00013318">
      <w:pPr>
        <w:pStyle w:val="Default"/>
        <w:numPr>
          <w:ilvl w:val="0"/>
          <w:numId w:val="9"/>
        </w:numPr>
        <w:rPr>
          <w:rFonts w:ascii="Times New Roman" w:hAnsi="Times New Roman" w:cs="Times New Roman"/>
          <w:color w:val="auto"/>
        </w:rPr>
      </w:pPr>
      <w:r>
        <w:rPr>
          <w:rFonts w:ascii="Times New Roman" w:hAnsi="Times New Roman" w:cs="Times New Roman"/>
          <w:b/>
          <w:bCs/>
          <w:color w:val="auto"/>
          <w:lang w:val="sr-Cyrl-CS"/>
        </w:rPr>
        <w:t xml:space="preserve">њихово учешће од суштинског значаја </w:t>
      </w:r>
    </w:p>
    <w:p w:rsidR="00C80AB6" w:rsidRPr="00013318" w:rsidRDefault="00013318" w:rsidP="00C80AB6">
      <w:pPr>
        <w:pStyle w:val="Default"/>
        <w:numPr>
          <w:ilvl w:val="0"/>
          <w:numId w:val="9"/>
        </w:numPr>
        <w:rPr>
          <w:rFonts w:ascii="Times New Roman" w:hAnsi="Times New Roman" w:cs="Times New Roman"/>
          <w:color w:val="auto"/>
          <w:lang w:val="sr-Cyrl-CS"/>
        </w:rPr>
      </w:pPr>
      <w:r w:rsidRPr="00013318">
        <w:rPr>
          <w:rFonts w:ascii="Times New Roman" w:hAnsi="Times New Roman" w:cs="Times New Roman"/>
          <w:b/>
          <w:bCs/>
          <w:color w:val="auto"/>
          <w:lang w:val="sr-Cyrl-CS"/>
        </w:rPr>
        <w:t xml:space="preserve">такво финансирање предвиђено билатералним аранжамном између Уније и треће државе/међународне организације </w:t>
      </w:r>
    </w:p>
    <w:p w:rsidR="00C00AA1" w:rsidRPr="00C00AA1" w:rsidRDefault="00C00AA1" w:rsidP="00C00AA1">
      <w:pPr>
        <w:pStyle w:val="Default"/>
        <w:rPr>
          <w:rFonts w:ascii="Times New Roman" w:hAnsi="Times New Roman" w:cs="Times New Roman"/>
        </w:rPr>
      </w:pPr>
    </w:p>
    <w:p w:rsidR="00895B92" w:rsidRDefault="00895B92" w:rsidP="00C00AA1">
      <w:pPr>
        <w:pStyle w:val="Default"/>
        <w:rPr>
          <w:rFonts w:ascii="Times New Roman" w:hAnsi="Times New Roman" w:cs="Times New Roman"/>
          <w:b/>
          <w:bCs/>
          <w:color w:val="auto"/>
          <w:sz w:val="28"/>
          <w:szCs w:val="28"/>
          <w:u w:val="single"/>
          <w:lang w:val="sr-Cyrl-CS"/>
        </w:rPr>
      </w:pPr>
    </w:p>
    <w:p w:rsidR="00895B92" w:rsidRDefault="00895B92" w:rsidP="00C00AA1">
      <w:pPr>
        <w:pStyle w:val="Default"/>
        <w:rPr>
          <w:rFonts w:ascii="Times New Roman" w:hAnsi="Times New Roman" w:cs="Times New Roman"/>
          <w:b/>
          <w:bCs/>
          <w:color w:val="auto"/>
          <w:sz w:val="28"/>
          <w:szCs w:val="28"/>
          <w:u w:val="single"/>
          <w:lang w:val="sr-Cyrl-CS"/>
        </w:rPr>
      </w:pPr>
    </w:p>
    <w:p w:rsidR="00895B92" w:rsidRDefault="00895B92" w:rsidP="00C00AA1">
      <w:pPr>
        <w:pStyle w:val="Default"/>
        <w:rPr>
          <w:rFonts w:ascii="Times New Roman" w:hAnsi="Times New Roman" w:cs="Times New Roman"/>
          <w:b/>
          <w:bCs/>
          <w:color w:val="auto"/>
          <w:sz w:val="28"/>
          <w:szCs w:val="28"/>
          <w:u w:val="single"/>
          <w:lang w:val="sr-Cyrl-CS"/>
        </w:rPr>
      </w:pPr>
    </w:p>
    <w:p w:rsidR="00895B92" w:rsidRDefault="00895B92" w:rsidP="00C00AA1">
      <w:pPr>
        <w:pStyle w:val="Default"/>
        <w:rPr>
          <w:rFonts w:ascii="Times New Roman" w:hAnsi="Times New Roman" w:cs="Times New Roman"/>
          <w:b/>
          <w:bCs/>
          <w:color w:val="auto"/>
          <w:sz w:val="28"/>
          <w:szCs w:val="28"/>
          <w:u w:val="single"/>
          <w:lang w:val="sr-Cyrl-CS"/>
        </w:rPr>
      </w:pPr>
    </w:p>
    <w:p w:rsidR="00895B92" w:rsidRDefault="00895B92" w:rsidP="00C00AA1">
      <w:pPr>
        <w:pStyle w:val="Default"/>
        <w:rPr>
          <w:rFonts w:ascii="Times New Roman" w:hAnsi="Times New Roman" w:cs="Times New Roman"/>
          <w:b/>
          <w:bCs/>
          <w:color w:val="auto"/>
          <w:sz w:val="28"/>
          <w:szCs w:val="28"/>
          <w:u w:val="single"/>
          <w:lang w:val="sr-Cyrl-CS"/>
        </w:rPr>
      </w:pPr>
    </w:p>
    <w:p w:rsidR="00C00AA1" w:rsidRPr="00013318" w:rsidRDefault="00013318"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Евалуација предлога</w:t>
      </w:r>
    </w:p>
    <w:p w:rsidR="00C00AA1" w:rsidRPr="00C00AA1" w:rsidRDefault="00C00AA1" w:rsidP="00C00AA1">
      <w:pPr>
        <w:pStyle w:val="Default"/>
        <w:rPr>
          <w:rFonts w:ascii="Times New Roman" w:hAnsi="Times New Roman" w:cs="Times New Roman"/>
          <w:color w:val="auto"/>
          <w:sz w:val="28"/>
          <w:szCs w:val="28"/>
          <w:u w:val="single"/>
          <w:lang w:val="sr-Cyrl-CS"/>
        </w:rPr>
      </w:pPr>
    </w:p>
    <w:p w:rsidR="00C00AA1" w:rsidRPr="00C00AA1" w:rsidRDefault="00013318" w:rsidP="00C00AA1">
      <w:pPr>
        <w:pStyle w:val="Default"/>
        <w:numPr>
          <w:ilvl w:val="0"/>
          <w:numId w:val="10"/>
        </w:numPr>
        <w:rPr>
          <w:rFonts w:ascii="Times New Roman" w:hAnsi="Times New Roman" w:cs="Times New Roman"/>
          <w:color w:val="auto"/>
        </w:rPr>
      </w:pPr>
      <w:r>
        <w:rPr>
          <w:rFonts w:ascii="Times New Roman" w:hAnsi="Times New Roman" w:cs="Times New Roman"/>
          <w:b/>
          <w:bCs/>
          <w:color w:val="auto"/>
          <w:lang w:val="sr-Cyrl-CS"/>
        </w:rPr>
        <w:t>Критеријуми</w:t>
      </w:r>
    </w:p>
    <w:p w:rsidR="00C00AA1" w:rsidRPr="00C00AA1" w:rsidRDefault="00013318" w:rsidP="00C00AA1">
      <w:pPr>
        <w:pStyle w:val="Default"/>
        <w:numPr>
          <w:ilvl w:val="0"/>
          <w:numId w:val="10"/>
        </w:numPr>
        <w:spacing w:after="194"/>
        <w:rPr>
          <w:rFonts w:ascii="Times New Roman" w:hAnsi="Times New Roman" w:cs="Times New Roman"/>
          <w:color w:val="auto"/>
        </w:rPr>
      </w:pPr>
      <w:r>
        <w:rPr>
          <w:rFonts w:ascii="Times New Roman" w:hAnsi="Times New Roman" w:cs="Times New Roman"/>
          <w:b/>
          <w:bCs/>
          <w:color w:val="auto"/>
          <w:lang w:val="sr-Cyrl-CS"/>
        </w:rPr>
        <w:t>Изврсност</w:t>
      </w:r>
    </w:p>
    <w:p w:rsidR="00C00AA1" w:rsidRPr="00C00AA1" w:rsidRDefault="00013318" w:rsidP="00C00AA1">
      <w:pPr>
        <w:pStyle w:val="Default"/>
        <w:numPr>
          <w:ilvl w:val="0"/>
          <w:numId w:val="10"/>
        </w:numPr>
        <w:rPr>
          <w:rFonts w:ascii="Times New Roman" w:hAnsi="Times New Roman" w:cs="Times New Roman"/>
          <w:color w:val="auto"/>
        </w:rPr>
      </w:pPr>
      <w:r>
        <w:rPr>
          <w:rFonts w:ascii="Times New Roman" w:hAnsi="Times New Roman" w:cs="Times New Roman"/>
          <w:b/>
          <w:bCs/>
          <w:color w:val="auto"/>
          <w:lang w:val="sr-Cyrl-CS"/>
        </w:rPr>
        <w:t>Утицај</w:t>
      </w:r>
    </w:p>
    <w:p w:rsidR="00C00AA1" w:rsidRPr="00C00AA1" w:rsidRDefault="00013318" w:rsidP="00C00AA1">
      <w:pPr>
        <w:pStyle w:val="Default"/>
        <w:numPr>
          <w:ilvl w:val="0"/>
          <w:numId w:val="13"/>
        </w:numPr>
        <w:rPr>
          <w:rFonts w:ascii="Times New Roman" w:hAnsi="Times New Roman" w:cs="Times New Roman"/>
          <w:color w:val="auto"/>
        </w:rPr>
      </w:pPr>
      <w:r>
        <w:rPr>
          <w:rFonts w:ascii="Times New Roman" w:hAnsi="Times New Roman" w:cs="Times New Roman"/>
          <w:color w:val="auto"/>
          <w:lang w:val="sr-Cyrl-CS"/>
        </w:rPr>
        <w:t>Више пондера за акције иновације</w:t>
      </w:r>
    </w:p>
    <w:p w:rsidR="00C00AA1" w:rsidRPr="00C00AA1" w:rsidRDefault="00013318" w:rsidP="00C00AA1">
      <w:pPr>
        <w:pStyle w:val="Default"/>
        <w:numPr>
          <w:ilvl w:val="0"/>
          <w:numId w:val="11"/>
        </w:numPr>
        <w:spacing w:after="154"/>
        <w:rPr>
          <w:rFonts w:ascii="Times New Roman" w:hAnsi="Times New Roman" w:cs="Times New Roman"/>
          <w:color w:val="auto"/>
        </w:rPr>
      </w:pPr>
      <w:r>
        <w:rPr>
          <w:rFonts w:ascii="Times New Roman" w:hAnsi="Times New Roman" w:cs="Times New Roman"/>
          <w:b/>
          <w:bCs/>
          <w:color w:val="auto"/>
          <w:lang w:val="sr-Cyrl-CS"/>
        </w:rPr>
        <w:t>Квалитет и ефикасност у имплементацији</w:t>
      </w:r>
    </w:p>
    <w:p w:rsidR="00C00AA1" w:rsidRPr="00C00AA1" w:rsidRDefault="00013318" w:rsidP="00C00AA1">
      <w:pPr>
        <w:pStyle w:val="Default"/>
        <w:numPr>
          <w:ilvl w:val="0"/>
          <w:numId w:val="12"/>
        </w:numPr>
        <w:spacing w:after="154"/>
        <w:rPr>
          <w:rFonts w:ascii="Times New Roman" w:hAnsi="Times New Roman" w:cs="Times New Roman"/>
          <w:color w:val="auto"/>
        </w:rPr>
      </w:pPr>
      <w:r>
        <w:rPr>
          <w:rFonts w:ascii="Times New Roman" w:hAnsi="Times New Roman" w:cs="Times New Roman"/>
          <w:color w:val="auto"/>
          <w:lang w:val="sr-Cyrl-CS"/>
        </w:rPr>
        <w:t xml:space="preserve">Детаљи, пондери </w:t>
      </w:r>
      <w:r>
        <w:rPr>
          <w:rFonts w:ascii="Times New Roman" w:hAnsi="Times New Roman" w:cs="Times New Roman"/>
          <w:color w:val="auto"/>
        </w:rPr>
        <w:t xml:space="preserve">(weightings) </w:t>
      </w:r>
      <w:r>
        <w:rPr>
          <w:rFonts w:ascii="Times New Roman" w:hAnsi="Times New Roman" w:cs="Times New Roman"/>
          <w:color w:val="auto"/>
          <w:lang w:val="sr-Cyrl-CS"/>
        </w:rPr>
        <w:t xml:space="preserve">и прагови </w:t>
      </w:r>
      <w:r w:rsidR="00C00AA1" w:rsidRPr="00C00AA1">
        <w:rPr>
          <w:rFonts w:ascii="Times New Roman" w:hAnsi="Times New Roman" w:cs="Times New Roman"/>
          <w:color w:val="auto"/>
        </w:rPr>
        <w:t xml:space="preserve">(thresholds) </w:t>
      </w:r>
      <w:r>
        <w:rPr>
          <w:rFonts w:ascii="Times New Roman" w:hAnsi="Times New Roman" w:cs="Times New Roman"/>
          <w:color w:val="auto"/>
          <w:lang w:val="sr-Cyrl-CS"/>
        </w:rPr>
        <w:t>изложени су у Програму рада</w:t>
      </w:r>
      <w:r w:rsidR="00C00AA1" w:rsidRPr="00C00AA1">
        <w:rPr>
          <w:rFonts w:ascii="Times New Roman" w:hAnsi="Times New Roman" w:cs="Times New Roman"/>
          <w:color w:val="auto"/>
        </w:rPr>
        <w:t xml:space="preserve"> </w:t>
      </w:r>
    </w:p>
    <w:p w:rsidR="00C00AA1" w:rsidRPr="00C00AA1" w:rsidRDefault="00013318" w:rsidP="00C00AA1">
      <w:pPr>
        <w:pStyle w:val="Default"/>
        <w:numPr>
          <w:ilvl w:val="0"/>
          <w:numId w:val="12"/>
        </w:numPr>
        <w:rPr>
          <w:rFonts w:ascii="Times New Roman" w:hAnsi="Times New Roman" w:cs="Times New Roman"/>
          <w:color w:val="auto"/>
        </w:rPr>
      </w:pPr>
      <w:r>
        <w:rPr>
          <w:rFonts w:ascii="Times New Roman" w:hAnsi="Times New Roman" w:cs="Times New Roman"/>
          <w:color w:val="auto"/>
          <w:lang w:val="sr-Cyrl-CS"/>
        </w:rPr>
        <w:t xml:space="preserve">Евалуацију спроводе независни експерти </w:t>
      </w:r>
    </w:p>
    <w:p w:rsidR="00C00AA1" w:rsidRPr="00C00AA1" w:rsidRDefault="00C00AA1" w:rsidP="00C00AA1">
      <w:pPr>
        <w:pStyle w:val="Default"/>
        <w:rPr>
          <w:rFonts w:ascii="Times New Roman" w:hAnsi="Times New Roman" w:cs="Times New Roman"/>
          <w:color w:val="auto"/>
        </w:rPr>
      </w:pPr>
    </w:p>
    <w:p w:rsidR="00C80AB6" w:rsidRPr="00013318" w:rsidRDefault="00013318" w:rsidP="00C80AB6">
      <w:pPr>
        <w:pStyle w:val="Default"/>
        <w:numPr>
          <w:ilvl w:val="0"/>
          <w:numId w:val="12"/>
        </w:numPr>
        <w:rPr>
          <w:rFonts w:ascii="Times New Roman" w:hAnsi="Times New Roman" w:cs="Times New Roman"/>
          <w:color w:val="auto"/>
          <w:lang w:val="sr-Cyrl-CS"/>
        </w:rPr>
      </w:pPr>
      <w:r w:rsidRPr="00013318">
        <w:rPr>
          <w:rFonts w:ascii="Times New Roman" w:hAnsi="Times New Roman" w:cs="Times New Roman"/>
          <w:color w:val="auto"/>
          <w:lang w:val="sr-Cyrl-CS"/>
        </w:rPr>
        <w:t xml:space="preserve">Могућност двофазне процедуре за подношење </w:t>
      </w:r>
    </w:p>
    <w:p w:rsidR="00C00AA1" w:rsidRPr="00C00AA1" w:rsidRDefault="00C00AA1" w:rsidP="00C00AA1">
      <w:pPr>
        <w:pStyle w:val="Default"/>
        <w:rPr>
          <w:rFonts w:ascii="Times New Roman" w:hAnsi="Times New Roman" w:cs="Times New Roman"/>
        </w:rPr>
      </w:pPr>
    </w:p>
    <w:p w:rsidR="00C00AA1" w:rsidRPr="00013318" w:rsidRDefault="00013318"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Критеријуми за селекцију</w:t>
      </w:r>
    </w:p>
    <w:p w:rsidR="00C00AA1" w:rsidRPr="00C00AA1" w:rsidRDefault="00C00AA1" w:rsidP="00C00AA1">
      <w:pPr>
        <w:pStyle w:val="Default"/>
        <w:rPr>
          <w:rFonts w:ascii="Times New Roman" w:hAnsi="Times New Roman" w:cs="Times New Roman"/>
          <w:color w:val="auto"/>
          <w:sz w:val="28"/>
          <w:szCs w:val="28"/>
          <w:u w:val="single"/>
          <w:lang w:val="sr-Cyrl-CS"/>
        </w:rPr>
      </w:pPr>
    </w:p>
    <w:p w:rsidR="00C00AA1" w:rsidRPr="00C00AA1" w:rsidRDefault="00013318" w:rsidP="00C00AA1">
      <w:pPr>
        <w:pStyle w:val="Default"/>
        <w:numPr>
          <w:ilvl w:val="0"/>
          <w:numId w:val="15"/>
        </w:numPr>
        <w:rPr>
          <w:rFonts w:ascii="Times New Roman" w:hAnsi="Times New Roman" w:cs="Times New Roman"/>
          <w:color w:val="auto"/>
        </w:rPr>
      </w:pPr>
      <w:r>
        <w:rPr>
          <w:rFonts w:ascii="Times New Roman" w:hAnsi="Times New Roman" w:cs="Times New Roman"/>
          <w:b/>
          <w:bCs/>
          <w:color w:val="auto"/>
          <w:lang w:val="sr-Cyrl-CS"/>
        </w:rPr>
        <w:t>Оперативни капацитет</w:t>
      </w:r>
    </w:p>
    <w:p w:rsidR="00013318" w:rsidRDefault="00013318" w:rsidP="00013318">
      <w:pPr>
        <w:pStyle w:val="Default"/>
        <w:rPr>
          <w:rFonts w:ascii="Times New Roman" w:hAnsi="Times New Roman" w:cs="Times New Roman"/>
          <w:iCs/>
          <w:color w:val="auto"/>
          <w:lang w:val="sr-Cyrl-CS"/>
        </w:rPr>
      </w:pPr>
      <w:r>
        <w:rPr>
          <w:rFonts w:ascii="Times New Roman" w:hAnsi="Times New Roman" w:cs="Times New Roman"/>
          <w:iCs/>
          <w:color w:val="auto"/>
          <w:lang w:val="sr-Cyrl-CS"/>
        </w:rPr>
        <w:t xml:space="preserve">Појам </w:t>
      </w:r>
      <w:r>
        <w:rPr>
          <w:rFonts w:ascii="Times New Roman" w:hAnsi="Times New Roman" w:cs="Times New Roman"/>
          <w:iCs/>
          <w:color w:val="auto"/>
        </w:rPr>
        <w:t>“</w:t>
      </w:r>
      <w:r>
        <w:rPr>
          <w:rFonts w:ascii="Times New Roman" w:hAnsi="Times New Roman" w:cs="Times New Roman"/>
          <w:iCs/>
          <w:color w:val="auto"/>
          <w:lang w:val="sr-Cyrl-CS"/>
        </w:rPr>
        <w:t>оперативни капацитет</w:t>
      </w:r>
      <w:r w:rsidR="00C00AA1" w:rsidRPr="00DC7643">
        <w:rPr>
          <w:rFonts w:ascii="Times New Roman" w:hAnsi="Times New Roman" w:cs="Times New Roman"/>
          <w:iCs/>
          <w:color w:val="auto"/>
        </w:rPr>
        <w:t xml:space="preserve">” </w:t>
      </w:r>
      <w:r>
        <w:rPr>
          <w:rFonts w:ascii="Times New Roman" w:hAnsi="Times New Roman" w:cs="Times New Roman"/>
          <w:iCs/>
          <w:color w:val="auto"/>
          <w:lang w:val="sr-Cyrl-CS"/>
        </w:rPr>
        <w:t xml:space="preserve">подразумева да апликанти поседују професионалне компетенције и квалификације неопходне за реализацију предложене акције или програма рада: процена може бити извршена на бази специфичних квалификација, професионалног искуства или референци у области која је у питању. </w:t>
      </w:r>
    </w:p>
    <w:p w:rsidR="00013318" w:rsidRDefault="00013318" w:rsidP="00013318">
      <w:pPr>
        <w:pStyle w:val="Default"/>
        <w:rPr>
          <w:rFonts w:ascii="Times New Roman" w:hAnsi="Times New Roman" w:cs="Times New Roman"/>
          <w:iCs/>
          <w:color w:val="auto"/>
          <w:lang w:val="sr-Cyrl-CS"/>
        </w:rPr>
      </w:pPr>
    </w:p>
    <w:p w:rsidR="00C00AA1" w:rsidRPr="00C00AA1" w:rsidRDefault="00013318" w:rsidP="00013318">
      <w:pPr>
        <w:pStyle w:val="Default"/>
        <w:numPr>
          <w:ilvl w:val="0"/>
          <w:numId w:val="15"/>
        </w:numPr>
        <w:rPr>
          <w:rFonts w:ascii="Times New Roman" w:hAnsi="Times New Roman" w:cs="Times New Roman"/>
          <w:color w:val="auto"/>
        </w:rPr>
      </w:pPr>
      <w:r>
        <w:rPr>
          <w:rFonts w:ascii="Times New Roman" w:hAnsi="Times New Roman" w:cs="Times New Roman"/>
          <w:b/>
          <w:bCs/>
          <w:color w:val="auto"/>
          <w:lang w:val="sr-Cyrl-CS"/>
        </w:rPr>
        <w:t>Финансијски капацитет</w:t>
      </w:r>
    </w:p>
    <w:p w:rsidR="00C00AA1" w:rsidRPr="00C00AA1" w:rsidRDefault="00013318" w:rsidP="00C00AA1">
      <w:pPr>
        <w:pStyle w:val="Default"/>
        <w:spacing w:after="156"/>
        <w:rPr>
          <w:rFonts w:ascii="Times New Roman" w:hAnsi="Times New Roman" w:cs="Times New Roman"/>
          <w:color w:val="auto"/>
        </w:rPr>
      </w:pPr>
      <w:r>
        <w:rPr>
          <w:rFonts w:ascii="Times New Roman" w:hAnsi="Times New Roman" w:cs="Times New Roman"/>
          <w:color w:val="auto"/>
          <w:lang w:val="sr-Cyrl-CS"/>
        </w:rPr>
        <w:t xml:space="preserve">Осим у посебним случајевима, биће проверавани само координатори акција које подразумевају контрибуције ЕУ у вредности од </w:t>
      </w:r>
      <w:r w:rsidR="00C00AA1" w:rsidRPr="00C00AA1">
        <w:rPr>
          <w:rFonts w:ascii="Times New Roman" w:hAnsi="Times New Roman" w:cs="Times New Roman"/>
          <w:color w:val="auto"/>
        </w:rPr>
        <w:t xml:space="preserve">500.000€ </w:t>
      </w:r>
      <w:r>
        <w:rPr>
          <w:rFonts w:ascii="Times New Roman" w:hAnsi="Times New Roman" w:cs="Times New Roman"/>
          <w:color w:val="auto"/>
          <w:lang w:val="sr-Cyrl-CS"/>
        </w:rPr>
        <w:t>или више</w:t>
      </w:r>
      <w:r w:rsidR="00C00AA1" w:rsidRPr="00C00AA1">
        <w:rPr>
          <w:rFonts w:ascii="Times New Roman" w:hAnsi="Times New Roman" w:cs="Times New Roman"/>
          <w:color w:val="auto"/>
        </w:rPr>
        <w:t xml:space="preserve"> </w:t>
      </w:r>
    </w:p>
    <w:p w:rsidR="00C00AA1" w:rsidRPr="00C00AA1" w:rsidRDefault="00013318" w:rsidP="00C00AA1">
      <w:pPr>
        <w:pStyle w:val="Default"/>
        <w:rPr>
          <w:rFonts w:ascii="Times New Roman" w:hAnsi="Times New Roman" w:cs="Times New Roman"/>
          <w:color w:val="auto"/>
        </w:rPr>
      </w:pPr>
      <w:r>
        <w:rPr>
          <w:rFonts w:ascii="Times New Roman" w:hAnsi="Times New Roman" w:cs="Times New Roman"/>
          <w:color w:val="auto"/>
          <w:lang w:val="sr-Cyrl-CS"/>
        </w:rPr>
        <w:t xml:space="preserve">Верификација се неће вршити када су у питању органи јавне управе, субјекти за које јамчи држава чланица или придружена држава, установе средњег и високог образовања. </w:t>
      </w:r>
    </w:p>
    <w:p w:rsidR="00C00AA1" w:rsidRPr="00013318" w:rsidRDefault="00C00AA1" w:rsidP="00C00AA1">
      <w:pPr>
        <w:pStyle w:val="Default"/>
        <w:rPr>
          <w:rFonts w:ascii="Times New Roman" w:hAnsi="Times New Roman" w:cs="Times New Roman"/>
          <w:lang w:val="sr-Cyrl-CS"/>
        </w:rPr>
      </w:pPr>
    </w:p>
    <w:p w:rsidR="00C00AA1" w:rsidRDefault="00013318"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Грант</w:t>
      </w:r>
      <w:r w:rsidR="00C00AA1" w:rsidRPr="00DC7643">
        <w:rPr>
          <w:rFonts w:ascii="Times New Roman" w:hAnsi="Times New Roman" w:cs="Times New Roman"/>
          <w:b/>
          <w:bCs/>
          <w:color w:val="auto"/>
          <w:sz w:val="28"/>
          <w:szCs w:val="28"/>
          <w:u w:val="single"/>
        </w:rPr>
        <w:t xml:space="preserve"> – </w:t>
      </w:r>
      <w:r>
        <w:rPr>
          <w:rFonts w:ascii="Times New Roman" w:hAnsi="Times New Roman" w:cs="Times New Roman"/>
          <w:b/>
          <w:bCs/>
          <w:color w:val="auto"/>
          <w:sz w:val="28"/>
          <w:szCs w:val="28"/>
          <w:u w:val="single"/>
          <w:lang w:val="sr-Cyrl-CS"/>
        </w:rPr>
        <w:t>припрема и потписивање споразума и време потребно за добијање гранта</w:t>
      </w:r>
      <w:r w:rsidR="00C00AA1" w:rsidRPr="00DC7643">
        <w:rPr>
          <w:rFonts w:ascii="Times New Roman" w:hAnsi="Times New Roman" w:cs="Times New Roman"/>
          <w:b/>
          <w:bCs/>
          <w:color w:val="auto"/>
          <w:sz w:val="28"/>
          <w:szCs w:val="28"/>
          <w:u w:val="single"/>
        </w:rPr>
        <w:t xml:space="preserve"> </w:t>
      </w:r>
    </w:p>
    <w:p w:rsidR="00DC7643" w:rsidRPr="00DC7643" w:rsidRDefault="00DC7643" w:rsidP="00C00AA1">
      <w:pPr>
        <w:pStyle w:val="Default"/>
        <w:rPr>
          <w:rFonts w:ascii="Times New Roman" w:hAnsi="Times New Roman" w:cs="Times New Roman"/>
          <w:color w:val="auto"/>
          <w:sz w:val="28"/>
          <w:szCs w:val="28"/>
          <w:u w:val="single"/>
          <w:lang w:val="sr-Cyrl-CS"/>
        </w:rPr>
      </w:pPr>
    </w:p>
    <w:p w:rsidR="00C00AA1" w:rsidRPr="00013318" w:rsidRDefault="00C00AA1" w:rsidP="00DC7643">
      <w:pPr>
        <w:pStyle w:val="Default"/>
        <w:numPr>
          <w:ilvl w:val="0"/>
          <w:numId w:val="15"/>
        </w:numPr>
        <w:spacing w:after="194"/>
        <w:rPr>
          <w:rFonts w:ascii="Times New Roman" w:hAnsi="Times New Roman" w:cs="Times New Roman"/>
          <w:color w:val="auto"/>
        </w:rPr>
      </w:pPr>
      <w:r w:rsidRPr="00013318">
        <w:rPr>
          <w:rFonts w:ascii="Times New Roman" w:hAnsi="Times New Roman" w:cs="Times New Roman"/>
          <w:color w:val="auto"/>
        </w:rPr>
        <w:t xml:space="preserve">5 </w:t>
      </w:r>
      <w:r w:rsidR="00013318" w:rsidRPr="00013318">
        <w:rPr>
          <w:rFonts w:ascii="Times New Roman" w:hAnsi="Times New Roman" w:cs="Times New Roman"/>
          <w:color w:val="auto"/>
          <w:lang w:val="sr-Cyrl-CS"/>
        </w:rPr>
        <w:t>месеци за информисање апликаната о исходу научне евалуације</w:t>
      </w:r>
      <w:r w:rsidRPr="00013318">
        <w:rPr>
          <w:rFonts w:ascii="Times New Roman" w:hAnsi="Times New Roman" w:cs="Times New Roman"/>
          <w:color w:val="auto"/>
        </w:rPr>
        <w:t xml:space="preserve"> </w:t>
      </w:r>
    </w:p>
    <w:p w:rsidR="00C00AA1" w:rsidRPr="00C00AA1" w:rsidRDefault="00C00AA1" w:rsidP="00DC7643">
      <w:pPr>
        <w:pStyle w:val="Default"/>
        <w:numPr>
          <w:ilvl w:val="0"/>
          <w:numId w:val="15"/>
        </w:numPr>
        <w:rPr>
          <w:rFonts w:ascii="Times New Roman" w:hAnsi="Times New Roman" w:cs="Times New Roman"/>
          <w:color w:val="auto"/>
        </w:rPr>
      </w:pPr>
      <w:r w:rsidRPr="00013318">
        <w:rPr>
          <w:rFonts w:ascii="Times New Roman" w:hAnsi="Times New Roman" w:cs="Times New Roman"/>
          <w:color w:val="auto"/>
        </w:rPr>
        <w:t xml:space="preserve">3 </w:t>
      </w:r>
      <w:r w:rsidR="00013318">
        <w:rPr>
          <w:rFonts w:ascii="Times New Roman" w:hAnsi="Times New Roman" w:cs="Times New Roman"/>
          <w:color w:val="auto"/>
          <w:lang w:val="sr-Cyrl-CS"/>
        </w:rPr>
        <w:t>месеца за потписивање споразума о гранту</w:t>
      </w:r>
      <w:r w:rsidRPr="00013318">
        <w:rPr>
          <w:rFonts w:ascii="Times New Roman" w:hAnsi="Times New Roman" w:cs="Times New Roman"/>
          <w:color w:val="auto"/>
        </w:rPr>
        <w:t xml:space="preserve"> = </w:t>
      </w:r>
      <w:r w:rsidR="00013318">
        <w:rPr>
          <w:rFonts w:ascii="Times New Roman" w:hAnsi="Times New Roman" w:cs="Times New Roman"/>
          <w:color w:val="auto"/>
          <w:lang w:val="sr-Cyrl-CS"/>
        </w:rPr>
        <w:t>финализација процеса за доделу гранта</w:t>
      </w:r>
      <w:r w:rsidRPr="00013318">
        <w:rPr>
          <w:rFonts w:ascii="Times New Roman" w:hAnsi="Times New Roman" w:cs="Times New Roman"/>
          <w:color w:val="auto"/>
        </w:rPr>
        <w:t xml:space="preserve"> </w:t>
      </w:r>
    </w:p>
    <w:p w:rsidR="00C00AA1" w:rsidRPr="00C00AA1" w:rsidRDefault="00C00AA1" w:rsidP="00C80AB6">
      <w:pPr>
        <w:pStyle w:val="Default"/>
        <w:rPr>
          <w:rFonts w:ascii="Times New Roman" w:hAnsi="Times New Roman" w:cs="Times New Roman"/>
          <w:color w:val="auto"/>
          <w:lang w:val="sr-Cyrl-CS"/>
        </w:rPr>
      </w:pPr>
    </w:p>
    <w:p w:rsidR="00C00AA1" w:rsidRPr="00C00AA1" w:rsidRDefault="00C00AA1" w:rsidP="00C00AA1">
      <w:pPr>
        <w:pStyle w:val="Default"/>
        <w:rPr>
          <w:rFonts w:ascii="Times New Roman" w:hAnsi="Times New Roman" w:cs="Times New Roman"/>
        </w:rPr>
      </w:pPr>
    </w:p>
    <w:p w:rsidR="00C00AA1" w:rsidRPr="00CB62FB" w:rsidRDefault="00CB62FB"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Поједностављен модел финансирања</w:t>
      </w:r>
    </w:p>
    <w:p w:rsidR="00DC7643" w:rsidRPr="00DC7643" w:rsidRDefault="00DC7643" w:rsidP="00C00AA1">
      <w:pPr>
        <w:pStyle w:val="Default"/>
        <w:rPr>
          <w:rFonts w:ascii="Times New Roman" w:hAnsi="Times New Roman" w:cs="Times New Roman"/>
          <w:color w:val="auto"/>
          <w:sz w:val="28"/>
          <w:szCs w:val="28"/>
          <w:u w:val="single"/>
          <w:lang w:val="sr-Cyrl-CS"/>
        </w:rPr>
      </w:pPr>
    </w:p>
    <w:p w:rsidR="00C00AA1" w:rsidRPr="00C00AA1" w:rsidRDefault="00C00AA1" w:rsidP="00DC7643">
      <w:pPr>
        <w:pStyle w:val="Default"/>
        <w:numPr>
          <w:ilvl w:val="0"/>
          <w:numId w:val="16"/>
        </w:numPr>
        <w:rPr>
          <w:rFonts w:ascii="Times New Roman" w:hAnsi="Times New Roman" w:cs="Times New Roman"/>
          <w:color w:val="auto"/>
        </w:rPr>
      </w:pPr>
      <w:r w:rsidRPr="00C00AA1">
        <w:rPr>
          <w:rFonts w:ascii="Times New Roman" w:hAnsi="Times New Roman" w:cs="Times New Roman"/>
          <w:b/>
          <w:bCs/>
          <w:color w:val="auto"/>
        </w:rPr>
        <w:t xml:space="preserve">1 </w:t>
      </w:r>
      <w:r w:rsidR="00CB62FB">
        <w:rPr>
          <w:rFonts w:ascii="Times New Roman" w:hAnsi="Times New Roman" w:cs="Times New Roman"/>
          <w:b/>
          <w:bCs/>
          <w:color w:val="auto"/>
          <w:lang w:val="sr-Cyrl-CS"/>
        </w:rPr>
        <w:t>накнадна стопа</w:t>
      </w:r>
      <w:r w:rsidRPr="00C00AA1">
        <w:rPr>
          <w:rFonts w:ascii="Times New Roman" w:hAnsi="Times New Roman" w:cs="Times New Roman"/>
          <w:b/>
          <w:bCs/>
          <w:color w:val="auto"/>
        </w:rPr>
        <w:t xml:space="preserve"> </w:t>
      </w:r>
      <w:r w:rsidR="00CB62FB">
        <w:rPr>
          <w:rFonts w:ascii="Times New Roman" w:hAnsi="Times New Roman" w:cs="Times New Roman"/>
          <w:color w:val="auto"/>
          <w:lang w:val="sr-Cyrl-CS"/>
        </w:rPr>
        <w:t xml:space="preserve">по акцији </w:t>
      </w:r>
      <w:r w:rsidRPr="00C00AA1">
        <w:rPr>
          <w:rFonts w:ascii="Times New Roman" w:hAnsi="Times New Roman" w:cs="Times New Roman"/>
          <w:color w:val="auto"/>
        </w:rPr>
        <w:t xml:space="preserve"> (</w:t>
      </w:r>
      <w:r w:rsidR="00CB62FB">
        <w:rPr>
          <w:rFonts w:ascii="Times New Roman" w:hAnsi="Times New Roman" w:cs="Times New Roman"/>
          <w:color w:val="auto"/>
          <w:lang w:val="sr-Cyrl-CS"/>
        </w:rPr>
        <w:t>иста стопа за све кориснике и све активности</w:t>
      </w:r>
      <w:r w:rsidRPr="00C00AA1">
        <w:rPr>
          <w:rFonts w:ascii="Times New Roman" w:hAnsi="Times New Roman" w:cs="Times New Roman"/>
          <w:color w:val="auto"/>
        </w:rPr>
        <w:t xml:space="preserve">): </w:t>
      </w:r>
    </w:p>
    <w:p w:rsidR="00C00AA1" w:rsidRPr="00C00AA1" w:rsidRDefault="00CB62FB" w:rsidP="00DC7643">
      <w:pPr>
        <w:pStyle w:val="Default"/>
        <w:numPr>
          <w:ilvl w:val="0"/>
          <w:numId w:val="16"/>
        </w:numPr>
        <w:spacing w:after="156"/>
        <w:rPr>
          <w:rFonts w:ascii="Times New Roman" w:hAnsi="Times New Roman" w:cs="Times New Roman"/>
          <w:color w:val="auto"/>
        </w:rPr>
      </w:pPr>
      <w:r>
        <w:rPr>
          <w:rFonts w:ascii="Times New Roman" w:hAnsi="Times New Roman" w:cs="Times New Roman"/>
          <w:color w:val="auto"/>
          <w:lang w:val="sr-Cyrl-CS"/>
        </w:rPr>
        <w:t>До</w:t>
      </w:r>
      <w:r w:rsidR="00C00AA1" w:rsidRPr="00C00AA1">
        <w:rPr>
          <w:rFonts w:ascii="Times New Roman" w:hAnsi="Times New Roman" w:cs="Times New Roman"/>
          <w:color w:val="auto"/>
        </w:rPr>
        <w:t xml:space="preserve"> 100% </w:t>
      </w:r>
      <w:r>
        <w:rPr>
          <w:rFonts w:ascii="Times New Roman" w:hAnsi="Times New Roman" w:cs="Times New Roman"/>
          <w:color w:val="auto"/>
          <w:lang w:val="sr-Cyrl-CS"/>
        </w:rPr>
        <w:t>за акције у области истраживања</w:t>
      </w:r>
      <w:r w:rsidR="00C00AA1" w:rsidRPr="00C00AA1">
        <w:rPr>
          <w:rFonts w:ascii="Times New Roman" w:hAnsi="Times New Roman" w:cs="Times New Roman"/>
          <w:color w:val="auto"/>
        </w:rPr>
        <w:t xml:space="preserve"> </w:t>
      </w:r>
      <w:r>
        <w:rPr>
          <w:rFonts w:ascii="Times New Roman" w:hAnsi="Times New Roman" w:cs="Times New Roman"/>
          <w:color w:val="auto"/>
          <w:lang w:val="sr-Cyrl-CS"/>
        </w:rPr>
        <w:t>и развоја</w:t>
      </w:r>
      <w:r w:rsidR="00C00AA1" w:rsidRPr="00C00AA1">
        <w:rPr>
          <w:rFonts w:ascii="Times New Roman" w:hAnsi="Times New Roman" w:cs="Times New Roman"/>
          <w:color w:val="auto"/>
        </w:rPr>
        <w:t xml:space="preserve"> </w:t>
      </w:r>
    </w:p>
    <w:p w:rsidR="00C00AA1" w:rsidRPr="00C00AA1" w:rsidRDefault="00CB62FB" w:rsidP="00DC7643">
      <w:pPr>
        <w:pStyle w:val="Default"/>
        <w:numPr>
          <w:ilvl w:val="0"/>
          <w:numId w:val="16"/>
        </w:numPr>
        <w:spacing w:after="156"/>
        <w:rPr>
          <w:rFonts w:ascii="Times New Roman" w:hAnsi="Times New Roman" w:cs="Times New Roman"/>
          <w:color w:val="auto"/>
        </w:rPr>
      </w:pPr>
      <w:r>
        <w:rPr>
          <w:rFonts w:ascii="Times New Roman" w:hAnsi="Times New Roman" w:cs="Times New Roman"/>
          <w:color w:val="auto"/>
          <w:lang w:val="sr-Cyrl-CS"/>
        </w:rPr>
        <w:lastRenderedPageBreak/>
        <w:t>До</w:t>
      </w:r>
      <w:r w:rsidR="00C00AA1" w:rsidRPr="00C00AA1">
        <w:rPr>
          <w:rFonts w:ascii="Times New Roman" w:hAnsi="Times New Roman" w:cs="Times New Roman"/>
          <w:color w:val="auto"/>
        </w:rPr>
        <w:t xml:space="preserve"> 70% </w:t>
      </w:r>
      <w:r>
        <w:rPr>
          <w:rFonts w:ascii="Times New Roman" w:hAnsi="Times New Roman" w:cs="Times New Roman"/>
          <w:color w:val="auto"/>
          <w:lang w:val="sr-Cyrl-CS"/>
        </w:rPr>
        <w:t>за иновације</w:t>
      </w:r>
      <w:r w:rsidR="00C00AA1" w:rsidRPr="00C00AA1">
        <w:rPr>
          <w:rFonts w:ascii="Times New Roman" w:hAnsi="Times New Roman" w:cs="Times New Roman"/>
          <w:color w:val="auto"/>
        </w:rPr>
        <w:t xml:space="preserve"> (</w:t>
      </w:r>
      <w:r>
        <w:rPr>
          <w:rFonts w:ascii="Times New Roman" w:hAnsi="Times New Roman" w:cs="Times New Roman"/>
          <w:color w:val="auto"/>
          <w:lang w:val="sr-Cyrl-CS"/>
        </w:rPr>
        <w:t>за непрофитне субјекте</w:t>
      </w:r>
      <w:r w:rsidR="00C00AA1" w:rsidRPr="00C00AA1">
        <w:rPr>
          <w:rFonts w:ascii="Times New Roman" w:hAnsi="Times New Roman" w:cs="Times New Roman"/>
          <w:color w:val="auto"/>
        </w:rPr>
        <w:t xml:space="preserve"> 100%) </w:t>
      </w:r>
    </w:p>
    <w:p w:rsidR="00C00AA1" w:rsidRPr="00C00AA1" w:rsidRDefault="00CB62FB" w:rsidP="00DC7643">
      <w:pPr>
        <w:pStyle w:val="Default"/>
        <w:numPr>
          <w:ilvl w:val="0"/>
          <w:numId w:val="16"/>
        </w:numPr>
        <w:rPr>
          <w:rFonts w:ascii="Times New Roman" w:hAnsi="Times New Roman" w:cs="Times New Roman"/>
          <w:color w:val="auto"/>
        </w:rPr>
      </w:pPr>
      <w:r>
        <w:rPr>
          <w:rFonts w:ascii="Times New Roman" w:hAnsi="Times New Roman" w:cs="Times New Roman"/>
          <w:color w:val="auto"/>
          <w:lang w:val="sr-Cyrl-CS"/>
        </w:rPr>
        <w:t>До</w:t>
      </w:r>
      <w:r w:rsidR="00C00AA1" w:rsidRPr="00C00AA1">
        <w:rPr>
          <w:rFonts w:ascii="Times New Roman" w:hAnsi="Times New Roman" w:cs="Times New Roman"/>
          <w:color w:val="auto"/>
        </w:rPr>
        <w:t xml:space="preserve"> 70% </w:t>
      </w:r>
      <w:r>
        <w:rPr>
          <w:rFonts w:ascii="Times New Roman" w:hAnsi="Times New Roman" w:cs="Times New Roman"/>
          <w:color w:val="auto"/>
          <w:lang w:val="sr-Cyrl-CS"/>
        </w:rPr>
        <w:t>за</w:t>
      </w:r>
      <w:r w:rsidR="00C00AA1" w:rsidRPr="00C00AA1">
        <w:rPr>
          <w:rFonts w:ascii="Times New Roman" w:hAnsi="Times New Roman" w:cs="Times New Roman"/>
          <w:color w:val="auto"/>
        </w:rPr>
        <w:t xml:space="preserve"> PCP co-fund, 33% </w:t>
      </w:r>
      <w:r>
        <w:rPr>
          <w:rFonts w:ascii="Times New Roman" w:hAnsi="Times New Roman" w:cs="Times New Roman"/>
          <w:color w:val="auto"/>
          <w:lang w:val="sr-Cyrl-CS"/>
        </w:rPr>
        <w:t>за</w:t>
      </w:r>
      <w:r w:rsidR="00C00AA1" w:rsidRPr="00C00AA1">
        <w:rPr>
          <w:rFonts w:ascii="Times New Roman" w:hAnsi="Times New Roman" w:cs="Times New Roman"/>
          <w:color w:val="auto"/>
        </w:rPr>
        <w:t xml:space="preserve"> ERANET co-fund, 20% </w:t>
      </w:r>
      <w:r>
        <w:rPr>
          <w:rFonts w:ascii="Times New Roman" w:hAnsi="Times New Roman" w:cs="Times New Roman"/>
          <w:color w:val="auto"/>
          <w:lang w:val="sr-Cyrl-CS"/>
        </w:rPr>
        <w:t>за</w:t>
      </w:r>
      <w:r w:rsidR="00C00AA1" w:rsidRPr="00C00AA1">
        <w:rPr>
          <w:rFonts w:ascii="Times New Roman" w:hAnsi="Times New Roman" w:cs="Times New Roman"/>
          <w:color w:val="auto"/>
        </w:rPr>
        <w:t xml:space="preserve"> PPI co-fund </w:t>
      </w:r>
    </w:p>
    <w:p w:rsidR="00C00AA1" w:rsidRPr="00C00AA1" w:rsidRDefault="00C00AA1" w:rsidP="00DC7643">
      <w:pPr>
        <w:pStyle w:val="Default"/>
        <w:numPr>
          <w:ilvl w:val="0"/>
          <w:numId w:val="16"/>
        </w:numPr>
        <w:rPr>
          <w:rFonts w:ascii="Times New Roman" w:hAnsi="Times New Roman" w:cs="Times New Roman"/>
          <w:color w:val="auto"/>
        </w:rPr>
      </w:pPr>
      <w:r w:rsidRPr="00C00AA1">
        <w:rPr>
          <w:rFonts w:ascii="Times New Roman" w:hAnsi="Times New Roman" w:cs="Times New Roman"/>
          <w:color w:val="auto"/>
        </w:rPr>
        <w:t xml:space="preserve">1 </w:t>
      </w:r>
      <w:r w:rsidR="00CB62FB">
        <w:rPr>
          <w:rFonts w:ascii="Times New Roman" w:hAnsi="Times New Roman" w:cs="Times New Roman"/>
          <w:color w:val="auto"/>
          <w:lang w:val="sr-Cyrl-CS"/>
        </w:rPr>
        <w:t>метод</w:t>
      </w:r>
      <w:r w:rsidRPr="00C00AA1">
        <w:rPr>
          <w:rFonts w:ascii="Times New Roman" w:hAnsi="Times New Roman" w:cs="Times New Roman"/>
          <w:color w:val="auto"/>
        </w:rPr>
        <w:t xml:space="preserve"> </w:t>
      </w:r>
      <w:r w:rsidR="00CB62FB">
        <w:rPr>
          <w:rFonts w:ascii="Times New Roman" w:hAnsi="Times New Roman" w:cs="Times New Roman"/>
          <w:color w:val="auto"/>
          <w:lang w:val="sr-Cyrl-CS"/>
        </w:rPr>
        <w:t>за израчунавање</w:t>
      </w:r>
      <w:r w:rsidRPr="00C00AA1">
        <w:rPr>
          <w:rFonts w:ascii="Times New Roman" w:hAnsi="Times New Roman" w:cs="Times New Roman"/>
          <w:color w:val="auto"/>
        </w:rPr>
        <w:t xml:space="preserve"> </w:t>
      </w:r>
      <w:r w:rsidR="00CB62FB">
        <w:rPr>
          <w:rFonts w:ascii="Times New Roman" w:hAnsi="Times New Roman" w:cs="Times New Roman"/>
          <w:b/>
          <w:bCs/>
          <w:color w:val="auto"/>
          <w:lang w:val="sr-Cyrl-CS"/>
        </w:rPr>
        <w:t>индиректних трошкова</w:t>
      </w:r>
      <w:r w:rsidRPr="00C00AA1">
        <w:rPr>
          <w:rFonts w:ascii="Times New Roman" w:hAnsi="Times New Roman" w:cs="Times New Roman"/>
          <w:color w:val="auto"/>
        </w:rPr>
        <w:t xml:space="preserve">: </w:t>
      </w:r>
    </w:p>
    <w:p w:rsidR="00C00AA1" w:rsidRPr="00C00AA1" w:rsidRDefault="00CB62FB" w:rsidP="00DC7643">
      <w:pPr>
        <w:pStyle w:val="Default"/>
        <w:numPr>
          <w:ilvl w:val="0"/>
          <w:numId w:val="16"/>
        </w:numPr>
        <w:spacing w:after="156"/>
        <w:rPr>
          <w:rFonts w:ascii="Times New Roman" w:hAnsi="Times New Roman" w:cs="Times New Roman"/>
          <w:color w:val="auto"/>
        </w:rPr>
      </w:pPr>
      <w:r>
        <w:rPr>
          <w:rFonts w:ascii="Times New Roman" w:hAnsi="Times New Roman" w:cs="Times New Roman"/>
          <w:color w:val="auto"/>
          <w:lang w:val="sr-Cyrl-CS"/>
        </w:rPr>
        <w:t xml:space="preserve">Фиксна стопа од </w:t>
      </w:r>
      <w:r w:rsidR="00C00AA1" w:rsidRPr="00C00AA1">
        <w:rPr>
          <w:rFonts w:ascii="Times New Roman" w:hAnsi="Times New Roman" w:cs="Times New Roman"/>
          <w:color w:val="auto"/>
        </w:rPr>
        <w:t xml:space="preserve"> 25% </w:t>
      </w:r>
      <w:r>
        <w:rPr>
          <w:rFonts w:ascii="Times New Roman" w:hAnsi="Times New Roman" w:cs="Times New Roman"/>
          <w:color w:val="auto"/>
          <w:lang w:val="sr-Cyrl-CS"/>
        </w:rPr>
        <w:t>укупних директних трошкова</w:t>
      </w:r>
      <w:r w:rsidR="00C00AA1" w:rsidRPr="00C00AA1">
        <w:rPr>
          <w:rFonts w:ascii="Times New Roman" w:hAnsi="Times New Roman" w:cs="Times New Roman"/>
          <w:color w:val="auto"/>
        </w:rPr>
        <w:t xml:space="preserve">, </w:t>
      </w:r>
      <w:r>
        <w:rPr>
          <w:rFonts w:ascii="Times New Roman" w:hAnsi="Times New Roman" w:cs="Times New Roman"/>
          <w:color w:val="auto"/>
          <w:lang w:val="sr-Cyrl-CS"/>
        </w:rPr>
        <w:t>искључујући</w:t>
      </w:r>
      <w:r>
        <w:rPr>
          <w:rFonts w:ascii="Times New Roman" w:hAnsi="Times New Roman" w:cs="Times New Roman"/>
          <w:color w:val="auto"/>
        </w:rPr>
        <w:t xml:space="preserve"> </w:t>
      </w:r>
      <w:r>
        <w:rPr>
          <w:rFonts w:ascii="Times New Roman" w:hAnsi="Times New Roman" w:cs="Times New Roman"/>
          <w:color w:val="auto"/>
          <w:lang w:val="sr-Cyrl-CS"/>
        </w:rPr>
        <w:t>подуговарање</w:t>
      </w:r>
      <w:r w:rsidR="00C00AA1" w:rsidRPr="00C00AA1">
        <w:rPr>
          <w:rFonts w:ascii="Times New Roman" w:hAnsi="Times New Roman" w:cs="Times New Roman"/>
          <w:color w:val="auto"/>
        </w:rPr>
        <w:t xml:space="preserve">, </w:t>
      </w:r>
      <w:r>
        <w:rPr>
          <w:rFonts w:ascii="Times New Roman" w:hAnsi="Times New Roman" w:cs="Times New Roman"/>
          <w:color w:val="auto"/>
          <w:lang w:val="sr-Cyrl-CS"/>
        </w:rPr>
        <w:t>трошкове трећих лица и финансијску подршку трећим лицима</w:t>
      </w:r>
      <w:r w:rsidR="00C00AA1" w:rsidRPr="00C00AA1">
        <w:rPr>
          <w:rFonts w:ascii="Times New Roman" w:hAnsi="Times New Roman" w:cs="Times New Roman"/>
          <w:color w:val="auto"/>
        </w:rPr>
        <w:t xml:space="preserve"> </w:t>
      </w:r>
    </w:p>
    <w:p w:rsidR="00C00AA1" w:rsidRPr="00CB62FB" w:rsidRDefault="00CB62FB" w:rsidP="00C00AA1">
      <w:pPr>
        <w:pStyle w:val="Default"/>
        <w:numPr>
          <w:ilvl w:val="0"/>
          <w:numId w:val="16"/>
        </w:numPr>
        <w:rPr>
          <w:rFonts w:ascii="Times New Roman" w:hAnsi="Times New Roman" w:cs="Times New Roman"/>
          <w:color w:val="auto"/>
        </w:rPr>
      </w:pPr>
      <w:r w:rsidRPr="00CB62FB">
        <w:rPr>
          <w:rFonts w:ascii="Times New Roman" w:hAnsi="Times New Roman" w:cs="Times New Roman"/>
          <w:color w:val="auto"/>
          <w:lang w:val="sr-Cyrl-CS"/>
        </w:rPr>
        <w:t xml:space="preserve">Ако је предвиђено Програмом рада, укупна сума или јединични трошкови </w:t>
      </w:r>
    </w:p>
    <w:p w:rsidR="00C00AA1" w:rsidRPr="00C00AA1" w:rsidRDefault="00CB62FB" w:rsidP="00DC7643">
      <w:pPr>
        <w:pStyle w:val="Default"/>
        <w:numPr>
          <w:ilvl w:val="0"/>
          <w:numId w:val="16"/>
        </w:numPr>
        <w:rPr>
          <w:rFonts w:ascii="Times New Roman" w:hAnsi="Times New Roman" w:cs="Times New Roman"/>
          <w:color w:val="auto"/>
        </w:rPr>
      </w:pPr>
      <w:r>
        <w:rPr>
          <w:rFonts w:ascii="Times New Roman" w:hAnsi="Times New Roman" w:cs="Times New Roman"/>
          <w:color w:val="auto"/>
          <w:lang w:val="sr-Cyrl-CS"/>
        </w:rPr>
        <w:t xml:space="preserve">Финансирање акције не премашује </w:t>
      </w:r>
      <w:r>
        <w:rPr>
          <w:rFonts w:ascii="Times New Roman" w:hAnsi="Times New Roman" w:cs="Times New Roman"/>
          <w:b/>
          <w:bCs/>
          <w:color w:val="auto"/>
          <w:lang w:val="sr-Cyrl-CS"/>
        </w:rPr>
        <w:t>укупне прихватљиве трошкове минус примања</w:t>
      </w:r>
      <w:r w:rsidR="00C00AA1" w:rsidRPr="00C00AA1">
        <w:rPr>
          <w:rFonts w:ascii="Times New Roman" w:hAnsi="Times New Roman" w:cs="Times New Roman"/>
          <w:b/>
          <w:bCs/>
          <w:color w:val="auto"/>
        </w:rPr>
        <w:t xml:space="preserve"> </w:t>
      </w:r>
    </w:p>
    <w:p w:rsidR="00C00AA1" w:rsidRPr="00C00AA1" w:rsidRDefault="00C00AA1" w:rsidP="00C80AB6">
      <w:pPr>
        <w:pStyle w:val="Default"/>
        <w:rPr>
          <w:rFonts w:ascii="Times New Roman" w:hAnsi="Times New Roman" w:cs="Times New Roman"/>
          <w:color w:val="auto"/>
          <w:lang w:val="sr-Cyrl-CS"/>
        </w:rPr>
      </w:pPr>
    </w:p>
    <w:p w:rsidR="00C00AA1" w:rsidRPr="00C00AA1" w:rsidRDefault="00C00AA1" w:rsidP="00C00AA1">
      <w:pPr>
        <w:pStyle w:val="Default"/>
        <w:rPr>
          <w:rFonts w:ascii="Times New Roman" w:hAnsi="Times New Roman" w:cs="Times New Roman"/>
        </w:rPr>
      </w:pPr>
    </w:p>
    <w:p w:rsidR="00DC7643" w:rsidRPr="00CB62FB" w:rsidRDefault="00CB62FB"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Прихватљиви трошкови</w:t>
      </w:r>
    </w:p>
    <w:p w:rsidR="00DC7643" w:rsidRPr="00DC7643" w:rsidRDefault="00DC7643" w:rsidP="00C00AA1">
      <w:pPr>
        <w:pStyle w:val="Default"/>
        <w:rPr>
          <w:rFonts w:ascii="Times New Roman" w:hAnsi="Times New Roman" w:cs="Times New Roman"/>
          <w:b/>
          <w:bCs/>
          <w:color w:val="auto"/>
          <w:sz w:val="28"/>
          <w:szCs w:val="28"/>
          <w:u w:val="single"/>
          <w:lang w:val="sr-Cyrl-CS"/>
        </w:rPr>
      </w:pPr>
    </w:p>
    <w:p w:rsidR="00DC7643" w:rsidRDefault="00CB62FB" w:rsidP="00DC7643">
      <w:pPr>
        <w:pStyle w:val="Default"/>
        <w:rPr>
          <w:rFonts w:ascii="Times New Roman" w:hAnsi="Times New Roman" w:cs="Times New Roman"/>
          <w:color w:val="auto"/>
          <w:lang w:val="sr-Cyrl-CS"/>
        </w:rPr>
      </w:pPr>
      <w:r>
        <w:rPr>
          <w:rFonts w:ascii="Times New Roman" w:hAnsi="Times New Roman" w:cs="Times New Roman"/>
          <w:color w:val="auto"/>
          <w:lang w:val="sr-Cyrl-CS"/>
        </w:rPr>
        <w:t>Главне категорије трошкова</w:t>
      </w:r>
      <w:r w:rsidR="00C00AA1" w:rsidRPr="00DC7643">
        <w:rPr>
          <w:rFonts w:ascii="Times New Roman" w:hAnsi="Times New Roman" w:cs="Times New Roman"/>
          <w:color w:val="auto"/>
        </w:rPr>
        <w:t xml:space="preserve">: </w:t>
      </w:r>
    </w:p>
    <w:p w:rsidR="00DC7643" w:rsidRPr="00DC7643" w:rsidRDefault="00DC7643" w:rsidP="00DC7643">
      <w:pPr>
        <w:pStyle w:val="Default"/>
        <w:rPr>
          <w:rFonts w:ascii="Times New Roman" w:hAnsi="Times New Roman" w:cs="Times New Roman"/>
          <w:color w:val="auto"/>
          <w:lang w:val="sr-Cyrl-CS"/>
        </w:rPr>
      </w:pPr>
    </w:p>
    <w:p w:rsidR="00C00AA1" w:rsidRPr="00C00AA1" w:rsidRDefault="00CB62FB" w:rsidP="00DC7643">
      <w:pPr>
        <w:pStyle w:val="Default"/>
        <w:numPr>
          <w:ilvl w:val="0"/>
          <w:numId w:val="17"/>
        </w:numPr>
        <w:spacing w:after="195"/>
        <w:rPr>
          <w:rFonts w:ascii="Times New Roman" w:hAnsi="Times New Roman" w:cs="Times New Roman"/>
          <w:color w:val="auto"/>
        </w:rPr>
      </w:pPr>
      <w:r>
        <w:rPr>
          <w:rFonts w:ascii="Times New Roman" w:hAnsi="Times New Roman" w:cs="Times New Roman"/>
          <w:color w:val="auto"/>
          <w:lang w:val="sr-Cyrl-CS"/>
        </w:rPr>
        <w:t>Трошкови за особље</w:t>
      </w:r>
    </w:p>
    <w:p w:rsidR="00C00AA1" w:rsidRPr="00C00AA1" w:rsidRDefault="00CB62FB" w:rsidP="00DC7643">
      <w:pPr>
        <w:pStyle w:val="Default"/>
        <w:numPr>
          <w:ilvl w:val="0"/>
          <w:numId w:val="17"/>
        </w:numPr>
        <w:spacing w:after="195"/>
        <w:rPr>
          <w:rFonts w:ascii="Times New Roman" w:hAnsi="Times New Roman" w:cs="Times New Roman"/>
          <w:color w:val="auto"/>
        </w:rPr>
      </w:pPr>
      <w:r>
        <w:rPr>
          <w:rFonts w:ascii="Times New Roman" w:hAnsi="Times New Roman" w:cs="Times New Roman"/>
          <w:color w:val="auto"/>
          <w:lang w:val="sr-Cyrl-CS"/>
        </w:rPr>
        <w:t>Трошкови подуговарања</w:t>
      </w:r>
    </w:p>
    <w:p w:rsidR="00C00AA1" w:rsidRPr="00DC7643" w:rsidRDefault="00CB62FB" w:rsidP="00DC7643">
      <w:pPr>
        <w:pStyle w:val="Default"/>
        <w:numPr>
          <w:ilvl w:val="0"/>
          <w:numId w:val="17"/>
        </w:numPr>
        <w:rPr>
          <w:rFonts w:ascii="Times New Roman" w:hAnsi="Times New Roman" w:cs="Times New Roman"/>
          <w:color w:val="auto"/>
        </w:rPr>
      </w:pPr>
      <w:r>
        <w:rPr>
          <w:rFonts w:ascii="Times New Roman" w:hAnsi="Times New Roman" w:cs="Times New Roman"/>
          <w:color w:val="auto"/>
          <w:lang w:val="sr-Cyrl-CS"/>
        </w:rPr>
        <w:t>Други директни трошкови</w:t>
      </w:r>
    </w:p>
    <w:p w:rsidR="00DC7643" w:rsidRPr="00C00AA1" w:rsidRDefault="00DC7643" w:rsidP="00DC7643">
      <w:pPr>
        <w:pStyle w:val="Default"/>
        <w:ind w:left="720"/>
        <w:rPr>
          <w:rFonts w:ascii="Times New Roman" w:hAnsi="Times New Roman" w:cs="Times New Roman"/>
          <w:color w:val="auto"/>
        </w:rPr>
      </w:pPr>
    </w:p>
    <w:p w:rsidR="00C00AA1" w:rsidRPr="00C00AA1" w:rsidRDefault="00C00AA1" w:rsidP="00DC7643">
      <w:pPr>
        <w:pStyle w:val="Default"/>
        <w:spacing w:after="156"/>
        <w:ind w:left="720" w:firstLine="720"/>
        <w:rPr>
          <w:rFonts w:ascii="Times New Roman" w:hAnsi="Times New Roman" w:cs="Times New Roman"/>
          <w:color w:val="auto"/>
        </w:rPr>
      </w:pPr>
      <w:r w:rsidRPr="00C00AA1">
        <w:rPr>
          <w:rFonts w:ascii="Times New Roman" w:hAnsi="Times New Roman" w:cs="Times New Roman"/>
          <w:color w:val="auto"/>
        </w:rPr>
        <w:t>•</w:t>
      </w:r>
      <w:r w:rsidR="00CB62FB">
        <w:rPr>
          <w:rFonts w:ascii="Times New Roman" w:hAnsi="Times New Roman" w:cs="Times New Roman"/>
          <w:b/>
          <w:bCs/>
          <w:color w:val="auto"/>
          <w:lang w:val="sr-Cyrl-CS"/>
        </w:rPr>
        <w:t>Путни трошкови и социјална давања</w:t>
      </w:r>
      <w:r w:rsidRPr="00C00AA1">
        <w:rPr>
          <w:rFonts w:ascii="Times New Roman" w:hAnsi="Times New Roman" w:cs="Times New Roman"/>
          <w:b/>
          <w:bCs/>
          <w:color w:val="auto"/>
        </w:rPr>
        <w:t xml:space="preserve"> </w:t>
      </w:r>
    </w:p>
    <w:p w:rsidR="00C00AA1" w:rsidRPr="00C00AA1" w:rsidRDefault="00C00AA1" w:rsidP="00DC7643">
      <w:pPr>
        <w:pStyle w:val="Default"/>
        <w:spacing w:after="156"/>
        <w:ind w:left="720" w:firstLine="720"/>
        <w:rPr>
          <w:rFonts w:ascii="Times New Roman" w:hAnsi="Times New Roman" w:cs="Times New Roman"/>
          <w:color w:val="auto"/>
        </w:rPr>
      </w:pPr>
      <w:r w:rsidRPr="00C00AA1">
        <w:rPr>
          <w:rFonts w:ascii="Times New Roman" w:hAnsi="Times New Roman" w:cs="Times New Roman"/>
          <w:color w:val="auto"/>
        </w:rPr>
        <w:t>•</w:t>
      </w:r>
      <w:r w:rsidR="00CB62FB">
        <w:rPr>
          <w:rFonts w:ascii="Times New Roman" w:hAnsi="Times New Roman" w:cs="Times New Roman"/>
          <w:b/>
          <w:bCs/>
          <w:color w:val="auto"/>
          <w:lang w:val="sr-Cyrl-CS"/>
        </w:rPr>
        <w:t>Трошкови депресијације</w:t>
      </w:r>
      <w:r w:rsidRPr="00C00AA1">
        <w:rPr>
          <w:rFonts w:ascii="Times New Roman" w:hAnsi="Times New Roman" w:cs="Times New Roman"/>
          <w:b/>
          <w:bCs/>
          <w:color w:val="auto"/>
        </w:rPr>
        <w:t xml:space="preserve"> </w:t>
      </w:r>
      <w:r w:rsidR="00CB62FB">
        <w:rPr>
          <w:rFonts w:ascii="Times New Roman" w:hAnsi="Times New Roman" w:cs="Times New Roman"/>
          <w:b/>
          <w:bCs/>
          <w:color w:val="auto"/>
          <w:lang w:val="sr-Cyrl-CS"/>
        </w:rPr>
        <w:t>опреме</w:t>
      </w:r>
      <w:r w:rsidRPr="00C00AA1">
        <w:rPr>
          <w:rFonts w:ascii="Times New Roman" w:hAnsi="Times New Roman" w:cs="Times New Roman"/>
          <w:b/>
          <w:bCs/>
          <w:color w:val="auto"/>
        </w:rPr>
        <w:t xml:space="preserve"> </w:t>
      </w:r>
    </w:p>
    <w:p w:rsidR="00C00AA1" w:rsidRPr="00C00AA1" w:rsidRDefault="00C00AA1" w:rsidP="00DC7643">
      <w:pPr>
        <w:pStyle w:val="Default"/>
        <w:ind w:left="720" w:firstLine="720"/>
        <w:rPr>
          <w:rFonts w:ascii="Times New Roman" w:hAnsi="Times New Roman" w:cs="Times New Roman"/>
          <w:color w:val="auto"/>
        </w:rPr>
      </w:pPr>
      <w:r w:rsidRPr="00C00AA1">
        <w:rPr>
          <w:rFonts w:ascii="Times New Roman" w:hAnsi="Times New Roman" w:cs="Times New Roman"/>
          <w:color w:val="auto"/>
        </w:rPr>
        <w:t>•</w:t>
      </w:r>
      <w:r w:rsidR="00CB62FB">
        <w:rPr>
          <w:rFonts w:ascii="Times New Roman" w:hAnsi="Times New Roman" w:cs="Times New Roman"/>
          <w:b/>
          <w:bCs/>
          <w:color w:val="auto"/>
          <w:lang w:val="sr-Cyrl-CS"/>
        </w:rPr>
        <w:t>Трошкови за друга добра и сервисе</w:t>
      </w:r>
      <w:r w:rsidRPr="00C00AA1">
        <w:rPr>
          <w:rFonts w:ascii="Times New Roman" w:hAnsi="Times New Roman" w:cs="Times New Roman"/>
          <w:b/>
          <w:bCs/>
          <w:color w:val="auto"/>
        </w:rPr>
        <w:t xml:space="preserve"> (</w:t>
      </w:r>
      <w:r w:rsidR="00CB62FB">
        <w:rPr>
          <w:rFonts w:ascii="Times New Roman" w:hAnsi="Times New Roman" w:cs="Times New Roman"/>
          <w:b/>
          <w:bCs/>
          <w:color w:val="auto"/>
          <w:lang w:val="sr-Cyrl-CS"/>
        </w:rPr>
        <w:t>укључујући ПДВ сервисе који се не може одбити</w:t>
      </w:r>
      <w:r w:rsidRPr="00C00AA1">
        <w:rPr>
          <w:rFonts w:ascii="Times New Roman" w:hAnsi="Times New Roman" w:cs="Times New Roman"/>
          <w:b/>
          <w:bCs/>
          <w:color w:val="auto"/>
        </w:rPr>
        <w:t xml:space="preserve">) </w:t>
      </w:r>
    </w:p>
    <w:p w:rsidR="00C00AA1" w:rsidRPr="00C00AA1" w:rsidRDefault="00C00AA1" w:rsidP="00C80AB6">
      <w:pPr>
        <w:pStyle w:val="Default"/>
        <w:rPr>
          <w:rFonts w:ascii="Times New Roman" w:hAnsi="Times New Roman" w:cs="Times New Roman"/>
          <w:color w:val="auto"/>
          <w:lang w:val="sr-Cyrl-CS"/>
        </w:rPr>
      </w:pPr>
    </w:p>
    <w:p w:rsidR="00C00AA1" w:rsidRPr="00C00AA1" w:rsidRDefault="00C00AA1" w:rsidP="00C00AA1">
      <w:pPr>
        <w:pStyle w:val="Default"/>
        <w:rPr>
          <w:rFonts w:ascii="Times New Roman" w:hAnsi="Times New Roman" w:cs="Times New Roman"/>
        </w:rPr>
      </w:pPr>
    </w:p>
    <w:p w:rsidR="00C00AA1" w:rsidRDefault="00CB62FB" w:rsidP="00C00AA1">
      <w:pPr>
        <w:pStyle w:val="Default"/>
        <w:rPr>
          <w:rFonts w:ascii="Times New Roman" w:hAnsi="Times New Roman" w:cs="Times New Roman"/>
          <w:b/>
          <w:bCs/>
          <w:color w:val="auto"/>
          <w:u w:val="single"/>
          <w:lang w:val="sr-Cyrl-CS"/>
        </w:rPr>
      </w:pPr>
      <w:r>
        <w:rPr>
          <w:rFonts w:ascii="Times New Roman" w:hAnsi="Times New Roman" w:cs="Times New Roman"/>
          <w:b/>
          <w:bCs/>
          <w:color w:val="auto"/>
          <w:u w:val="single"/>
          <w:lang w:val="sr-Cyrl-CS"/>
        </w:rPr>
        <w:t>Трошкови за особље</w:t>
      </w:r>
      <w:r w:rsidR="00C00AA1" w:rsidRPr="00DC7643">
        <w:rPr>
          <w:rFonts w:ascii="Times New Roman" w:hAnsi="Times New Roman" w:cs="Times New Roman"/>
          <w:b/>
          <w:bCs/>
          <w:color w:val="auto"/>
          <w:u w:val="single"/>
        </w:rPr>
        <w:t xml:space="preserve"> (1) </w:t>
      </w:r>
    </w:p>
    <w:p w:rsidR="00DC7643" w:rsidRPr="00DC7643" w:rsidRDefault="00DC7643" w:rsidP="00C00AA1">
      <w:pPr>
        <w:pStyle w:val="Default"/>
        <w:rPr>
          <w:rFonts w:ascii="Times New Roman" w:hAnsi="Times New Roman" w:cs="Times New Roman"/>
          <w:color w:val="auto"/>
          <w:u w:val="single"/>
          <w:lang w:val="sr-Cyrl-CS"/>
        </w:rPr>
      </w:pPr>
    </w:p>
    <w:p w:rsidR="00DC7643" w:rsidRPr="00CB62FB" w:rsidRDefault="00CB62FB" w:rsidP="00CB62FB">
      <w:pPr>
        <w:pStyle w:val="Default"/>
        <w:numPr>
          <w:ilvl w:val="0"/>
          <w:numId w:val="20"/>
        </w:numPr>
        <w:rPr>
          <w:rFonts w:ascii="Times New Roman" w:hAnsi="Times New Roman" w:cs="Times New Roman"/>
          <w:color w:val="auto"/>
          <w:lang w:val="sr-Cyrl-CS"/>
        </w:rPr>
      </w:pPr>
      <w:r w:rsidRPr="00CB62FB">
        <w:rPr>
          <w:rFonts w:ascii="Times New Roman" w:hAnsi="Times New Roman" w:cs="Times New Roman"/>
          <w:b/>
          <w:bCs/>
          <w:color w:val="auto"/>
          <w:lang w:val="sr-Cyrl-CS"/>
        </w:rPr>
        <w:t>Плате</w:t>
      </w:r>
      <w:r w:rsidR="00C00AA1" w:rsidRPr="00CB62FB">
        <w:rPr>
          <w:rFonts w:ascii="Times New Roman" w:hAnsi="Times New Roman" w:cs="Times New Roman"/>
          <w:b/>
          <w:bCs/>
          <w:color w:val="auto"/>
        </w:rPr>
        <w:t xml:space="preserve"> + </w:t>
      </w:r>
      <w:r w:rsidRPr="00CB62FB">
        <w:rPr>
          <w:rFonts w:ascii="Times New Roman" w:hAnsi="Times New Roman" w:cs="Times New Roman"/>
          <w:b/>
          <w:bCs/>
          <w:color w:val="auto"/>
          <w:lang w:val="sr-Cyrl-CS"/>
        </w:rPr>
        <w:t>накнаде социјалног осигурања</w:t>
      </w:r>
      <w:r w:rsidR="00C00AA1" w:rsidRPr="00CB62FB">
        <w:rPr>
          <w:rFonts w:ascii="Times New Roman" w:hAnsi="Times New Roman" w:cs="Times New Roman"/>
          <w:b/>
          <w:bCs/>
          <w:color w:val="auto"/>
        </w:rPr>
        <w:t xml:space="preserve"> + </w:t>
      </w:r>
      <w:r w:rsidRPr="00CB62FB">
        <w:rPr>
          <w:rFonts w:ascii="Times New Roman" w:hAnsi="Times New Roman" w:cs="Times New Roman"/>
          <w:b/>
          <w:bCs/>
          <w:color w:val="auto"/>
          <w:lang w:val="sr-Cyrl-CS"/>
        </w:rPr>
        <w:t>други трошкови укључени у примања у складу са националном правном регулативом/уговором о раду</w:t>
      </w:r>
      <w:r w:rsidR="00C00AA1" w:rsidRPr="00CB62FB">
        <w:rPr>
          <w:rFonts w:ascii="Times New Roman" w:hAnsi="Times New Roman" w:cs="Times New Roman"/>
          <w:b/>
          <w:bCs/>
          <w:color w:val="auto"/>
        </w:rPr>
        <w:t xml:space="preserve"> </w:t>
      </w:r>
    </w:p>
    <w:p w:rsidR="00CB62FB" w:rsidRPr="00CB62FB" w:rsidRDefault="00CB62FB" w:rsidP="00CB62FB">
      <w:pPr>
        <w:pStyle w:val="Default"/>
        <w:ind w:left="360"/>
        <w:rPr>
          <w:rFonts w:ascii="Times New Roman" w:hAnsi="Times New Roman" w:cs="Times New Roman"/>
          <w:color w:val="auto"/>
          <w:lang w:val="sr-Cyrl-CS"/>
        </w:rPr>
      </w:pPr>
    </w:p>
    <w:p w:rsidR="00C00AA1" w:rsidRPr="00DC7643" w:rsidRDefault="00CB62FB" w:rsidP="00DC7643">
      <w:pPr>
        <w:pStyle w:val="Default"/>
        <w:numPr>
          <w:ilvl w:val="0"/>
          <w:numId w:val="18"/>
        </w:numPr>
        <w:rPr>
          <w:rFonts w:ascii="Times New Roman" w:hAnsi="Times New Roman" w:cs="Times New Roman"/>
          <w:color w:val="auto"/>
        </w:rPr>
      </w:pPr>
      <w:r>
        <w:rPr>
          <w:rFonts w:ascii="Times New Roman" w:hAnsi="Times New Roman" w:cs="Times New Roman"/>
          <w:b/>
          <w:bCs/>
          <w:color w:val="auto"/>
          <w:lang w:val="sr-Cyrl-CS"/>
        </w:rPr>
        <w:t>Додатне накнаде</w:t>
      </w:r>
      <w:r w:rsidR="00C00AA1" w:rsidRPr="00C00AA1">
        <w:rPr>
          <w:rFonts w:ascii="Times New Roman" w:hAnsi="Times New Roman" w:cs="Times New Roman"/>
          <w:b/>
          <w:bCs/>
          <w:color w:val="auto"/>
        </w:rPr>
        <w:t xml:space="preserve"> </w:t>
      </w:r>
      <w:r>
        <w:rPr>
          <w:rFonts w:ascii="Times New Roman" w:hAnsi="Times New Roman" w:cs="Times New Roman"/>
          <w:color w:val="auto"/>
          <w:lang w:val="sr-Cyrl-CS"/>
        </w:rPr>
        <w:t>до</w:t>
      </w:r>
      <w:r w:rsidR="00C00AA1" w:rsidRPr="00C00AA1">
        <w:rPr>
          <w:rFonts w:ascii="Times New Roman" w:hAnsi="Times New Roman" w:cs="Times New Roman"/>
          <w:color w:val="auto"/>
        </w:rPr>
        <w:t xml:space="preserve"> 8000 € (</w:t>
      </w:r>
      <w:r>
        <w:rPr>
          <w:rFonts w:ascii="Times New Roman" w:hAnsi="Times New Roman" w:cs="Times New Roman"/>
          <w:color w:val="auto"/>
          <w:lang w:val="sr-Cyrl-CS"/>
        </w:rPr>
        <w:t>годишње</w:t>
      </w:r>
      <w:r w:rsidR="00C00AA1" w:rsidRPr="00C00AA1">
        <w:rPr>
          <w:rFonts w:ascii="Times New Roman" w:hAnsi="Times New Roman" w:cs="Times New Roman"/>
          <w:color w:val="auto"/>
        </w:rPr>
        <w:t xml:space="preserve">) </w:t>
      </w:r>
      <w:r>
        <w:rPr>
          <w:rFonts w:ascii="Times New Roman" w:hAnsi="Times New Roman" w:cs="Times New Roman"/>
          <w:color w:val="auto"/>
          <w:lang w:val="sr-Cyrl-CS"/>
        </w:rPr>
        <w:t>за непрофитне правне субјекте</w:t>
      </w:r>
      <w:r w:rsidR="00C00AA1" w:rsidRPr="00C00AA1">
        <w:rPr>
          <w:rFonts w:ascii="Times New Roman" w:hAnsi="Times New Roman" w:cs="Times New Roman"/>
          <w:color w:val="auto"/>
        </w:rPr>
        <w:t xml:space="preserve"> </w:t>
      </w:r>
    </w:p>
    <w:p w:rsidR="00DC7643" w:rsidRPr="00C00AA1" w:rsidRDefault="00DC7643" w:rsidP="00DC7643">
      <w:pPr>
        <w:pStyle w:val="Default"/>
        <w:rPr>
          <w:rFonts w:ascii="Times New Roman" w:hAnsi="Times New Roman" w:cs="Times New Roman"/>
          <w:color w:val="auto"/>
        </w:rPr>
      </w:pPr>
    </w:p>
    <w:p w:rsidR="00C00AA1" w:rsidRPr="00C00AA1" w:rsidRDefault="00CB62FB" w:rsidP="00DC7643">
      <w:pPr>
        <w:pStyle w:val="Default"/>
        <w:numPr>
          <w:ilvl w:val="0"/>
          <w:numId w:val="18"/>
        </w:numPr>
        <w:rPr>
          <w:rFonts w:ascii="Times New Roman" w:hAnsi="Times New Roman" w:cs="Times New Roman"/>
          <w:color w:val="auto"/>
        </w:rPr>
      </w:pPr>
      <w:r>
        <w:rPr>
          <w:rFonts w:ascii="Times New Roman" w:hAnsi="Times New Roman" w:cs="Times New Roman"/>
          <w:b/>
          <w:bCs/>
          <w:color w:val="auto"/>
          <w:lang w:val="sr-Cyrl-CS"/>
        </w:rPr>
        <w:t>Радни сати</w:t>
      </w:r>
    </w:p>
    <w:p w:rsidR="00C00AA1" w:rsidRPr="00C00AA1" w:rsidRDefault="00C00AA1" w:rsidP="00DC7643">
      <w:pPr>
        <w:pStyle w:val="Default"/>
        <w:ind w:left="720" w:firstLine="720"/>
        <w:rPr>
          <w:rFonts w:ascii="Times New Roman" w:hAnsi="Times New Roman" w:cs="Times New Roman"/>
          <w:color w:val="auto"/>
        </w:rPr>
      </w:pPr>
      <w:r w:rsidRPr="00C00AA1">
        <w:rPr>
          <w:rFonts w:ascii="Times New Roman" w:hAnsi="Times New Roman" w:cs="Times New Roman"/>
          <w:color w:val="auto"/>
        </w:rPr>
        <w:t>•</w:t>
      </w:r>
      <w:r w:rsidR="00CB62FB">
        <w:rPr>
          <w:rFonts w:ascii="Times New Roman" w:hAnsi="Times New Roman" w:cs="Times New Roman"/>
          <w:color w:val="auto"/>
          <w:lang w:val="sr-Cyrl-CS"/>
        </w:rPr>
        <w:t>Кроз систем за вођење евиденције</w:t>
      </w:r>
      <w:r w:rsidRPr="00C00AA1">
        <w:rPr>
          <w:rFonts w:ascii="Times New Roman" w:hAnsi="Times New Roman" w:cs="Times New Roman"/>
          <w:color w:val="auto"/>
        </w:rPr>
        <w:t xml:space="preserve">, </w:t>
      </w:r>
      <w:r w:rsidR="00CB62FB">
        <w:rPr>
          <w:rFonts w:ascii="Times New Roman" w:hAnsi="Times New Roman" w:cs="Times New Roman"/>
          <w:color w:val="auto"/>
          <w:lang w:val="sr-Cyrl-CS"/>
        </w:rPr>
        <w:t>осим за особље које је на акцији ЕУ ангажовано пуно радно време</w:t>
      </w:r>
      <w:r w:rsidRPr="00C00AA1">
        <w:rPr>
          <w:rFonts w:ascii="Times New Roman" w:hAnsi="Times New Roman" w:cs="Times New Roman"/>
          <w:color w:val="auto"/>
        </w:rPr>
        <w:t xml:space="preserve"> </w:t>
      </w:r>
    </w:p>
    <w:p w:rsidR="00C00AA1" w:rsidRPr="00C00AA1" w:rsidRDefault="00C00AA1" w:rsidP="00DC7643">
      <w:pPr>
        <w:pStyle w:val="Default"/>
        <w:rPr>
          <w:rFonts w:ascii="Times New Roman" w:hAnsi="Times New Roman" w:cs="Times New Roman"/>
          <w:color w:val="auto"/>
          <w:lang w:val="sr-Cyrl-CS"/>
        </w:rPr>
      </w:pPr>
    </w:p>
    <w:p w:rsidR="00C00AA1" w:rsidRPr="00C00AA1" w:rsidRDefault="00C00AA1" w:rsidP="00C00AA1">
      <w:pPr>
        <w:pStyle w:val="Default"/>
        <w:rPr>
          <w:rFonts w:ascii="Times New Roman" w:hAnsi="Times New Roman" w:cs="Times New Roman"/>
        </w:rPr>
      </w:pPr>
    </w:p>
    <w:p w:rsidR="00C00AA1" w:rsidRDefault="00CB62FB" w:rsidP="00C00AA1">
      <w:pPr>
        <w:pStyle w:val="Default"/>
        <w:rPr>
          <w:rFonts w:ascii="Times New Roman" w:hAnsi="Times New Roman" w:cs="Times New Roman"/>
          <w:b/>
          <w:bCs/>
          <w:color w:val="auto"/>
          <w:u w:val="single"/>
          <w:lang w:val="sr-Cyrl-CS"/>
        </w:rPr>
      </w:pPr>
      <w:r>
        <w:rPr>
          <w:rFonts w:ascii="Times New Roman" w:hAnsi="Times New Roman" w:cs="Times New Roman"/>
          <w:b/>
          <w:bCs/>
          <w:color w:val="auto"/>
          <w:u w:val="single"/>
          <w:lang w:val="sr-Cyrl-CS"/>
        </w:rPr>
        <w:t xml:space="preserve">Трошкови за особље </w:t>
      </w:r>
      <w:r w:rsidR="00C00AA1" w:rsidRPr="00DC7643">
        <w:rPr>
          <w:rFonts w:ascii="Times New Roman" w:hAnsi="Times New Roman" w:cs="Times New Roman"/>
          <w:b/>
          <w:bCs/>
          <w:color w:val="auto"/>
          <w:u w:val="single"/>
        </w:rPr>
        <w:t xml:space="preserve"> (2) </w:t>
      </w:r>
    </w:p>
    <w:p w:rsidR="00DC7643" w:rsidRPr="00DC7643" w:rsidRDefault="00DC7643" w:rsidP="00C00AA1">
      <w:pPr>
        <w:pStyle w:val="Default"/>
        <w:rPr>
          <w:rFonts w:ascii="Times New Roman" w:hAnsi="Times New Roman" w:cs="Times New Roman"/>
          <w:color w:val="auto"/>
          <w:u w:val="single"/>
          <w:lang w:val="sr-Cyrl-CS"/>
        </w:rPr>
      </w:pPr>
    </w:p>
    <w:p w:rsidR="00DC7643" w:rsidRDefault="00CB62FB" w:rsidP="00DC7643">
      <w:pPr>
        <w:pStyle w:val="Default"/>
        <w:numPr>
          <w:ilvl w:val="0"/>
          <w:numId w:val="19"/>
        </w:numPr>
        <w:rPr>
          <w:rFonts w:ascii="Times New Roman" w:hAnsi="Times New Roman" w:cs="Times New Roman"/>
          <w:b/>
          <w:bCs/>
          <w:color w:val="auto"/>
          <w:lang w:val="sr-Cyrl-CS"/>
        </w:rPr>
      </w:pPr>
      <w:r>
        <w:rPr>
          <w:rFonts w:ascii="Times New Roman" w:hAnsi="Times New Roman" w:cs="Times New Roman"/>
          <w:b/>
          <w:bCs/>
          <w:color w:val="auto"/>
          <w:lang w:val="sr-Cyrl-CS"/>
        </w:rPr>
        <w:t>Стварни трошкови</w:t>
      </w:r>
    </w:p>
    <w:p w:rsidR="00DC7643" w:rsidRPr="00DC7643" w:rsidRDefault="00DC7643" w:rsidP="00DC7643">
      <w:pPr>
        <w:pStyle w:val="Default"/>
        <w:rPr>
          <w:rFonts w:ascii="Times New Roman" w:hAnsi="Times New Roman" w:cs="Times New Roman"/>
          <w:color w:val="auto"/>
          <w:lang w:val="sr-Cyrl-CS"/>
        </w:rPr>
      </w:pPr>
    </w:p>
    <w:p w:rsidR="00C00AA1" w:rsidRPr="00C00AA1" w:rsidRDefault="00CB62FB" w:rsidP="00DC7643">
      <w:pPr>
        <w:pStyle w:val="Default"/>
        <w:numPr>
          <w:ilvl w:val="0"/>
          <w:numId w:val="19"/>
        </w:numPr>
        <w:rPr>
          <w:rFonts w:ascii="Times New Roman" w:hAnsi="Times New Roman" w:cs="Times New Roman"/>
          <w:color w:val="auto"/>
        </w:rPr>
      </w:pPr>
      <w:r>
        <w:rPr>
          <w:rFonts w:ascii="Times New Roman" w:hAnsi="Times New Roman" w:cs="Times New Roman"/>
          <w:b/>
          <w:bCs/>
          <w:color w:val="auto"/>
          <w:lang w:val="sr-Cyrl-CS"/>
        </w:rPr>
        <w:t>Јединични трошкови</w:t>
      </w:r>
    </w:p>
    <w:p w:rsidR="00C00AA1" w:rsidRPr="00C00AA1" w:rsidRDefault="00C00AA1" w:rsidP="00DC7643">
      <w:pPr>
        <w:pStyle w:val="Default"/>
        <w:rPr>
          <w:rFonts w:ascii="Times New Roman" w:hAnsi="Times New Roman" w:cs="Times New Roman"/>
          <w:color w:val="auto"/>
        </w:rPr>
      </w:pPr>
    </w:p>
    <w:p w:rsidR="00C00AA1" w:rsidRPr="00C00AA1" w:rsidRDefault="00CB62FB" w:rsidP="00DC7643">
      <w:pPr>
        <w:pStyle w:val="Default"/>
        <w:numPr>
          <w:ilvl w:val="0"/>
          <w:numId w:val="19"/>
        </w:numPr>
        <w:rPr>
          <w:rFonts w:ascii="Times New Roman" w:hAnsi="Times New Roman" w:cs="Times New Roman"/>
          <w:color w:val="auto"/>
        </w:rPr>
      </w:pPr>
      <w:r>
        <w:rPr>
          <w:rFonts w:ascii="Times New Roman" w:hAnsi="Times New Roman" w:cs="Times New Roman"/>
          <w:b/>
          <w:bCs/>
          <w:color w:val="auto"/>
          <w:lang w:val="sr-Cyrl-CS"/>
        </w:rPr>
        <w:lastRenderedPageBreak/>
        <w:t>Просечни трошкови за особље</w:t>
      </w:r>
    </w:p>
    <w:p w:rsidR="00C00AA1" w:rsidRPr="00C00AA1" w:rsidRDefault="00C00AA1" w:rsidP="00C00AA1">
      <w:pPr>
        <w:pStyle w:val="Default"/>
        <w:rPr>
          <w:rFonts w:ascii="Times New Roman" w:hAnsi="Times New Roman" w:cs="Times New Roman"/>
          <w:color w:val="auto"/>
        </w:rPr>
      </w:pPr>
    </w:p>
    <w:p w:rsidR="00C00AA1" w:rsidRPr="00C00AA1" w:rsidRDefault="00CB62FB" w:rsidP="00895B92">
      <w:pPr>
        <w:pStyle w:val="Default"/>
        <w:numPr>
          <w:ilvl w:val="0"/>
          <w:numId w:val="21"/>
        </w:numPr>
        <w:rPr>
          <w:rFonts w:ascii="Times New Roman" w:hAnsi="Times New Roman" w:cs="Times New Roman"/>
          <w:color w:val="auto"/>
        </w:rPr>
      </w:pPr>
      <w:r>
        <w:rPr>
          <w:rFonts w:ascii="Times New Roman" w:hAnsi="Times New Roman" w:cs="Times New Roman"/>
          <w:color w:val="auto"/>
          <w:lang w:val="sr-Cyrl-CS"/>
        </w:rPr>
        <w:t xml:space="preserve">Обрачун заснован на укупним стварним трошковима за особље који су евидентирани на рачунима учесника </w:t>
      </w:r>
    </w:p>
    <w:p w:rsidR="00C00AA1" w:rsidRPr="00895B92" w:rsidRDefault="00895B92" w:rsidP="00895B92">
      <w:pPr>
        <w:pStyle w:val="Default"/>
        <w:numPr>
          <w:ilvl w:val="0"/>
          <w:numId w:val="21"/>
        </w:numPr>
        <w:rPr>
          <w:rFonts w:ascii="Times New Roman" w:hAnsi="Times New Roman" w:cs="Times New Roman"/>
          <w:color w:val="auto"/>
        </w:rPr>
      </w:pPr>
      <w:r>
        <w:rPr>
          <w:rFonts w:ascii="Times New Roman" w:hAnsi="Times New Roman" w:cs="Times New Roman"/>
          <w:color w:val="auto"/>
          <w:lang w:val="sr-Cyrl-CS"/>
        </w:rPr>
        <w:t xml:space="preserve">Одредбе о продуктивним сатима </w:t>
      </w:r>
    </w:p>
    <w:p w:rsidR="00895B92" w:rsidRPr="00C00AA1" w:rsidRDefault="00895B92" w:rsidP="00895B92">
      <w:pPr>
        <w:pStyle w:val="Default"/>
        <w:ind w:left="1440"/>
        <w:rPr>
          <w:rFonts w:ascii="Times New Roman" w:hAnsi="Times New Roman" w:cs="Times New Roman"/>
          <w:color w:val="auto"/>
        </w:rPr>
      </w:pPr>
    </w:p>
    <w:p w:rsidR="00C00AA1" w:rsidRPr="00C00AA1" w:rsidRDefault="00895B92" w:rsidP="00895B92">
      <w:pPr>
        <w:pStyle w:val="Default"/>
        <w:numPr>
          <w:ilvl w:val="0"/>
          <w:numId w:val="22"/>
        </w:numPr>
        <w:rPr>
          <w:rFonts w:ascii="Times New Roman" w:hAnsi="Times New Roman" w:cs="Times New Roman"/>
          <w:color w:val="auto"/>
        </w:rPr>
      </w:pPr>
      <w:r>
        <w:rPr>
          <w:rFonts w:ascii="Times New Roman" w:hAnsi="Times New Roman" w:cs="Times New Roman"/>
          <w:color w:val="auto"/>
          <w:lang w:val="sr-Cyrl-CS"/>
        </w:rPr>
        <w:t xml:space="preserve">Власник МСП и физичко лице које не прима плату </w:t>
      </w:r>
    </w:p>
    <w:p w:rsidR="00C00AA1" w:rsidRPr="00C00AA1" w:rsidRDefault="00C00AA1" w:rsidP="00C80AB6">
      <w:pPr>
        <w:pStyle w:val="Default"/>
        <w:rPr>
          <w:rFonts w:ascii="Times New Roman" w:hAnsi="Times New Roman" w:cs="Times New Roman"/>
          <w:color w:val="auto"/>
          <w:lang w:val="sr-Cyrl-CS"/>
        </w:rPr>
      </w:pPr>
    </w:p>
    <w:p w:rsidR="00C00AA1" w:rsidRPr="00C00AA1" w:rsidRDefault="00C00AA1" w:rsidP="00C00AA1">
      <w:pPr>
        <w:pStyle w:val="Default"/>
        <w:rPr>
          <w:rFonts w:ascii="Times New Roman" w:hAnsi="Times New Roman" w:cs="Times New Roman"/>
        </w:rPr>
      </w:pPr>
    </w:p>
    <w:p w:rsidR="00C00AA1" w:rsidRPr="00895B92" w:rsidRDefault="00895B92"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Контрола и ревизија</w:t>
      </w:r>
    </w:p>
    <w:p w:rsidR="00895B92" w:rsidRPr="00895B92" w:rsidRDefault="00895B92" w:rsidP="00C00AA1">
      <w:pPr>
        <w:pStyle w:val="Default"/>
        <w:rPr>
          <w:rFonts w:ascii="Times New Roman" w:hAnsi="Times New Roman" w:cs="Times New Roman"/>
          <w:color w:val="auto"/>
          <w:sz w:val="28"/>
          <w:szCs w:val="28"/>
          <w:u w:val="single"/>
          <w:lang w:val="sr-Cyrl-CS"/>
        </w:rPr>
      </w:pPr>
    </w:p>
    <w:p w:rsidR="00C00AA1" w:rsidRPr="00C00AA1" w:rsidRDefault="00895B92" w:rsidP="00895B92">
      <w:pPr>
        <w:pStyle w:val="Default"/>
        <w:numPr>
          <w:ilvl w:val="0"/>
          <w:numId w:val="23"/>
        </w:numPr>
        <w:rPr>
          <w:rFonts w:ascii="Times New Roman" w:hAnsi="Times New Roman" w:cs="Times New Roman"/>
          <w:color w:val="auto"/>
        </w:rPr>
      </w:pPr>
      <w:r>
        <w:rPr>
          <w:rFonts w:ascii="Times New Roman" w:hAnsi="Times New Roman" w:cs="Times New Roman"/>
          <w:b/>
          <w:bCs/>
          <w:color w:val="auto"/>
          <w:lang w:val="sr-Cyrl-CS"/>
        </w:rPr>
        <w:t>Извештаји о обављеној ревизији</w:t>
      </w:r>
    </w:p>
    <w:p w:rsidR="00C00AA1" w:rsidRPr="00895B92" w:rsidRDefault="00895B92" w:rsidP="00895B92">
      <w:pPr>
        <w:pStyle w:val="Default"/>
        <w:numPr>
          <w:ilvl w:val="0"/>
          <w:numId w:val="24"/>
        </w:numPr>
        <w:rPr>
          <w:rFonts w:ascii="Times New Roman" w:hAnsi="Times New Roman" w:cs="Times New Roman"/>
          <w:color w:val="auto"/>
        </w:rPr>
      </w:pPr>
      <w:r>
        <w:rPr>
          <w:rFonts w:ascii="Times New Roman" w:hAnsi="Times New Roman" w:cs="Times New Roman"/>
          <w:color w:val="auto"/>
          <w:lang w:val="sr-Cyrl-CS"/>
        </w:rPr>
        <w:t>Само за финална плаћањакада је укупна контрибуција ЕУ утврђена на бази стварних трошкова</w:t>
      </w:r>
      <w:r w:rsidR="00C00AA1" w:rsidRPr="00C00AA1">
        <w:rPr>
          <w:rFonts w:ascii="Times New Roman" w:hAnsi="Times New Roman" w:cs="Times New Roman"/>
          <w:color w:val="auto"/>
        </w:rPr>
        <w:t xml:space="preserve"> + </w:t>
      </w:r>
      <w:r>
        <w:rPr>
          <w:rFonts w:ascii="Times New Roman" w:hAnsi="Times New Roman" w:cs="Times New Roman"/>
          <w:color w:val="auto"/>
          <w:lang w:val="sr-Cyrl-CS"/>
        </w:rPr>
        <w:t>просечних трошкова за особље</w:t>
      </w:r>
      <w:r w:rsidR="00C00AA1" w:rsidRPr="00C00AA1">
        <w:rPr>
          <w:rFonts w:ascii="Times New Roman" w:hAnsi="Times New Roman" w:cs="Times New Roman"/>
          <w:color w:val="auto"/>
        </w:rPr>
        <w:t xml:space="preserve"> ≥ 325,000 € </w:t>
      </w:r>
    </w:p>
    <w:p w:rsidR="00895B92" w:rsidRPr="00C00AA1" w:rsidRDefault="00895B92" w:rsidP="00895B92">
      <w:pPr>
        <w:pStyle w:val="Default"/>
        <w:ind w:left="1800"/>
        <w:rPr>
          <w:rFonts w:ascii="Times New Roman" w:hAnsi="Times New Roman" w:cs="Times New Roman"/>
          <w:color w:val="auto"/>
        </w:rPr>
      </w:pPr>
    </w:p>
    <w:p w:rsidR="00C00AA1" w:rsidRPr="00C00AA1" w:rsidRDefault="00895B92" w:rsidP="00895B92">
      <w:pPr>
        <w:pStyle w:val="Default"/>
        <w:numPr>
          <w:ilvl w:val="0"/>
          <w:numId w:val="25"/>
        </w:numPr>
        <w:rPr>
          <w:rFonts w:ascii="Times New Roman" w:hAnsi="Times New Roman" w:cs="Times New Roman"/>
          <w:color w:val="auto"/>
        </w:rPr>
      </w:pPr>
      <w:r>
        <w:rPr>
          <w:rFonts w:ascii="Times New Roman" w:hAnsi="Times New Roman" w:cs="Times New Roman"/>
          <w:b/>
          <w:bCs/>
          <w:color w:val="auto"/>
          <w:lang w:val="sr-Cyrl-CS"/>
        </w:rPr>
        <w:t>Потврде о методологији</w:t>
      </w:r>
    </w:p>
    <w:p w:rsidR="00895B92" w:rsidRPr="00895B92" w:rsidRDefault="00895B92" w:rsidP="00895B92">
      <w:pPr>
        <w:pStyle w:val="Default"/>
        <w:numPr>
          <w:ilvl w:val="0"/>
          <w:numId w:val="24"/>
        </w:numPr>
        <w:rPr>
          <w:rFonts w:ascii="Times New Roman" w:hAnsi="Times New Roman" w:cs="Times New Roman"/>
          <w:color w:val="auto"/>
        </w:rPr>
      </w:pPr>
      <w:r w:rsidRPr="00895B92">
        <w:rPr>
          <w:rFonts w:ascii="Times New Roman" w:hAnsi="Times New Roman" w:cs="Times New Roman"/>
          <w:color w:val="auto"/>
          <w:lang w:val="sr-Cyrl-CS"/>
        </w:rPr>
        <w:t>Опциони извештаји о просечним трошковима за особље</w:t>
      </w:r>
      <w:r w:rsidR="00C00AA1" w:rsidRPr="00895B92">
        <w:rPr>
          <w:rFonts w:ascii="Times New Roman" w:hAnsi="Times New Roman" w:cs="Times New Roman"/>
          <w:color w:val="auto"/>
        </w:rPr>
        <w:t xml:space="preserve"> </w:t>
      </w:r>
    </w:p>
    <w:p w:rsidR="00895B92" w:rsidRPr="00895B92" w:rsidRDefault="00895B92" w:rsidP="00895B92">
      <w:pPr>
        <w:pStyle w:val="Default"/>
        <w:ind w:left="1800"/>
        <w:rPr>
          <w:rFonts w:ascii="Times New Roman" w:hAnsi="Times New Roman" w:cs="Times New Roman"/>
          <w:color w:val="auto"/>
        </w:rPr>
      </w:pPr>
    </w:p>
    <w:p w:rsidR="00C00AA1" w:rsidRPr="00C00AA1" w:rsidRDefault="00895B92" w:rsidP="00895B92">
      <w:pPr>
        <w:pStyle w:val="Default"/>
        <w:numPr>
          <w:ilvl w:val="0"/>
          <w:numId w:val="27"/>
        </w:numPr>
        <w:rPr>
          <w:rFonts w:ascii="Times New Roman" w:hAnsi="Times New Roman" w:cs="Times New Roman"/>
          <w:color w:val="auto"/>
        </w:rPr>
      </w:pPr>
      <w:r>
        <w:rPr>
          <w:rFonts w:ascii="Times New Roman" w:hAnsi="Times New Roman" w:cs="Times New Roman"/>
          <w:b/>
          <w:bCs/>
          <w:color w:val="auto"/>
          <w:lang w:val="sr-Cyrl-CS"/>
        </w:rPr>
        <w:t>Накнадна ревизија</w:t>
      </w:r>
      <w:r w:rsidR="00C00AA1" w:rsidRPr="00C00AA1">
        <w:rPr>
          <w:rFonts w:ascii="Times New Roman" w:hAnsi="Times New Roman" w:cs="Times New Roman"/>
          <w:b/>
          <w:bCs/>
          <w:color w:val="auto"/>
        </w:rPr>
        <w:t xml:space="preserve"> (Ex-post) </w:t>
      </w:r>
    </w:p>
    <w:p w:rsidR="00C00AA1" w:rsidRPr="00895B92" w:rsidRDefault="00895B92" w:rsidP="00C80AB6">
      <w:pPr>
        <w:pStyle w:val="Default"/>
        <w:numPr>
          <w:ilvl w:val="0"/>
          <w:numId w:val="28"/>
        </w:numPr>
        <w:rPr>
          <w:rFonts w:ascii="Times New Roman" w:hAnsi="Times New Roman" w:cs="Times New Roman"/>
          <w:color w:val="auto"/>
          <w:lang w:val="sr-Cyrl-CS"/>
        </w:rPr>
      </w:pPr>
      <w:r w:rsidRPr="00895B92">
        <w:rPr>
          <w:rFonts w:ascii="Times New Roman" w:hAnsi="Times New Roman" w:cs="Times New Roman"/>
          <w:color w:val="auto"/>
          <w:lang w:val="sr-Cyrl-CS"/>
        </w:rPr>
        <w:t>Ревизија је лимитирана на 2 године након завршетка пројекта</w:t>
      </w:r>
      <w:r w:rsidR="00C00AA1" w:rsidRPr="00895B92">
        <w:rPr>
          <w:rFonts w:ascii="Times New Roman" w:hAnsi="Times New Roman" w:cs="Times New Roman"/>
          <w:color w:val="auto"/>
        </w:rPr>
        <w:t xml:space="preserve"> </w:t>
      </w:r>
    </w:p>
    <w:p w:rsidR="00C00AA1" w:rsidRPr="00C00AA1" w:rsidRDefault="00C00AA1" w:rsidP="00C00AA1">
      <w:pPr>
        <w:pStyle w:val="Default"/>
        <w:rPr>
          <w:rFonts w:ascii="Times New Roman" w:hAnsi="Times New Roman" w:cs="Times New Roman"/>
        </w:rPr>
      </w:pPr>
    </w:p>
    <w:p w:rsidR="00C00AA1" w:rsidRDefault="00895B92" w:rsidP="00C00AA1">
      <w:pPr>
        <w:pStyle w:val="Default"/>
        <w:rPr>
          <w:rFonts w:ascii="Times New Roman" w:hAnsi="Times New Roman" w:cs="Times New Roman"/>
          <w:b/>
          <w:bCs/>
          <w:color w:val="auto"/>
          <w:sz w:val="28"/>
          <w:szCs w:val="28"/>
          <w:u w:val="single"/>
          <w:lang w:val="sr-Cyrl-CS"/>
        </w:rPr>
      </w:pPr>
      <w:r>
        <w:rPr>
          <w:rFonts w:ascii="Times New Roman" w:hAnsi="Times New Roman" w:cs="Times New Roman"/>
          <w:b/>
          <w:bCs/>
          <w:color w:val="auto"/>
          <w:sz w:val="28"/>
          <w:szCs w:val="28"/>
          <w:u w:val="single"/>
          <w:lang w:val="sr-Cyrl-CS"/>
        </w:rPr>
        <w:t>Гарантни фонд</w:t>
      </w:r>
    </w:p>
    <w:p w:rsidR="00895B92" w:rsidRPr="00895B92" w:rsidRDefault="00895B92" w:rsidP="00C00AA1">
      <w:pPr>
        <w:pStyle w:val="Default"/>
        <w:rPr>
          <w:rFonts w:ascii="Times New Roman" w:hAnsi="Times New Roman" w:cs="Times New Roman"/>
          <w:color w:val="auto"/>
          <w:sz w:val="28"/>
          <w:szCs w:val="28"/>
          <w:u w:val="single"/>
          <w:lang w:val="sr-Cyrl-CS"/>
        </w:rPr>
      </w:pPr>
    </w:p>
    <w:p w:rsidR="00C00AA1" w:rsidRPr="00C00AA1" w:rsidRDefault="00C00AA1" w:rsidP="00C00AA1">
      <w:pPr>
        <w:pStyle w:val="Default"/>
        <w:spacing w:after="194"/>
        <w:rPr>
          <w:rFonts w:ascii="Times New Roman" w:hAnsi="Times New Roman" w:cs="Times New Roman"/>
          <w:color w:val="auto"/>
        </w:rPr>
      </w:pPr>
      <w:r w:rsidRPr="00C00AA1">
        <w:rPr>
          <w:rFonts w:ascii="Times New Roman" w:hAnsi="Times New Roman" w:cs="Times New Roman"/>
          <w:color w:val="auto"/>
        </w:rPr>
        <w:t>•</w:t>
      </w:r>
      <w:r w:rsidR="00895B92">
        <w:rPr>
          <w:rFonts w:ascii="Times New Roman" w:hAnsi="Times New Roman" w:cs="Times New Roman"/>
          <w:color w:val="auto"/>
          <w:lang w:val="sr-Cyrl-CS"/>
        </w:rPr>
        <w:t>Континуитет са</w:t>
      </w:r>
      <w:r w:rsidRPr="00C00AA1">
        <w:rPr>
          <w:rFonts w:ascii="Times New Roman" w:hAnsi="Times New Roman" w:cs="Times New Roman"/>
          <w:color w:val="auto"/>
        </w:rPr>
        <w:t xml:space="preserve"> </w:t>
      </w:r>
      <w:r w:rsidR="00895B92">
        <w:rPr>
          <w:rFonts w:ascii="Times New Roman" w:hAnsi="Times New Roman" w:cs="Times New Roman"/>
          <w:b/>
          <w:bCs/>
          <w:color w:val="auto"/>
          <w:lang w:val="sr-Cyrl-CS"/>
        </w:rPr>
        <w:t xml:space="preserve">системом примењеним у </w:t>
      </w:r>
      <w:r w:rsidRPr="00C00AA1">
        <w:rPr>
          <w:rFonts w:ascii="Times New Roman" w:hAnsi="Times New Roman" w:cs="Times New Roman"/>
          <w:b/>
          <w:bCs/>
          <w:color w:val="auto"/>
        </w:rPr>
        <w:t xml:space="preserve">FP7: GF H2020 </w:t>
      </w:r>
      <w:r w:rsidR="00895B92">
        <w:rPr>
          <w:rFonts w:ascii="Times New Roman" w:hAnsi="Times New Roman" w:cs="Times New Roman"/>
          <w:b/>
          <w:bCs/>
          <w:color w:val="auto"/>
          <w:lang w:val="sr-Cyrl-CS"/>
        </w:rPr>
        <w:t>надомешта</w:t>
      </w:r>
      <w:r w:rsidRPr="00C00AA1">
        <w:rPr>
          <w:rFonts w:ascii="Times New Roman" w:hAnsi="Times New Roman" w:cs="Times New Roman"/>
          <w:b/>
          <w:bCs/>
          <w:color w:val="auto"/>
        </w:rPr>
        <w:t xml:space="preserve"> GF FP7 </w:t>
      </w:r>
    </w:p>
    <w:p w:rsidR="00C00AA1" w:rsidRPr="00C00AA1" w:rsidRDefault="00C00AA1" w:rsidP="00C00AA1">
      <w:pPr>
        <w:pStyle w:val="Default"/>
        <w:spacing w:after="194"/>
        <w:rPr>
          <w:rFonts w:ascii="Times New Roman" w:hAnsi="Times New Roman" w:cs="Times New Roman"/>
          <w:color w:val="auto"/>
        </w:rPr>
      </w:pPr>
      <w:r w:rsidRPr="00C00AA1">
        <w:rPr>
          <w:rFonts w:ascii="Times New Roman" w:hAnsi="Times New Roman" w:cs="Times New Roman"/>
          <w:color w:val="auto"/>
        </w:rPr>
        <w:t>•</w:t>
      </w:r>
      <w:r w:rsidR="00895B92">
        <w:rPr>
          <w:rFonts w:ascii="Times New Roman" w:hAnsi="Times New Roman" w:cs="Times New Roman"/>
          <w:color w:val="auto"/>
          <w:lang w:val="sr-Cyrl-CS"/>
        </w:rPr>
        <w:t xml:space="preserve">Сматра </w:t>
      </w:r>
      <w:proofErr w:type="gramStart"/>
      <w:r w:rsidR="00895B92">
        <w:rPr>
          <w:rFonts w:ascii="Times New Roman" w:hAnsi="Times New Roman" w:cs="Times New Roman"/>
          <w:color w:val="auto"/>
          <w:lang w:val="sr-Cyrl-CS"/>
        </w:rPr>
        <w:t xml:space="preserve">се </w:t>
      </w:r>
      <w:r w:rsidRPr="00C00AA1">
        <w:rPr>
          <w:rFonts w:ascii="Times New Roman" w:hAnsi="Times New Roman" w:cs="Times New Roman"/>
          <w:color w:val="auto"/>
        </w:rPr>
        <w:t xml:space="preserve"> </w:t>
      </w:r>
      <w:r w:rsidR="00895B92">
        <w:rPr>
          <w:rFonts w:ascii="Times New Roman" w:hAnsi="Times New Roman" w:cs="Times New Roman"/>
          <w:b/>
          <w:bCs/>
          <w:color w:val="auto"/>
          <w:lang w:val="sr-Cyrl-CS"/>
        </w:rPr>
        <w:t>довољном</w:t>
      </w:r>
      <w:proofErr w:type="gramEnd"/>
      <w:r w:rsidR="00895B92">
        <w:rPr>
          <w:rFonts w:ascii="Times New Roman" w:hAnsi="Times New Roman" w:cs="Times New Roman"/>
          <w:b/>
          <w:bCs/>
          <w:color w:val="auto"/>
          <w:lang w:val="sr-Cyrl-CS"/>
        </w:rPr>
        <w:t xml:space="preserve"> гаранцијом</w:t>
      </w:r>
      <w:r w:rsidRPr="00C00AA1">
        <w:rPr>
          <w:rFonts w:ascii="Times New Roman" w:hAnsi="Times New Roman" w:cs="Times New Roman"/>
          <w:b/>
          <w:bCs/>
          <w:color w:val="auto"/>
        </w:rPr>
        <w:t xml:space="preserve"> </w:t>
      </w:r>
      <w:r w:rsidRPr="00C00AA1">
        <w:rPr>
          <w:rFonts w:ascii="Times New Roman" w:hAnsi="Times New Roman" w:cs="Times New Roman"/>
          <w:color w:val="auto"/>
        </w:rPr>
        <w:t>under the FR (“</w:t>
      </w:r>
      <w:r w:rsidR="00895B92">
        <w:rPr>
          <w:rFonts w:ascii="Times New Roman" w:hAnsi="Times New Roman" w:cs="Times New Roman"/>
          <w:color w:val="auto"/>
          <w:lang w:val="sr-Cyrl-CS"/>
        </w:rPr>
        <w:t>према Финансијском извештају</w:t>
      </w:r>
      <w:r w:rsidRPr="00C00AA1">
        <w:rPr>
          <w:rFonts w:ascii="Times New Roman" w:hAnsi="Times New Roman" w:cs="Times New Roman"/>
          <w:color w:val="auto"/>
        </w:rPr>
        <w:t xml:space="preserve">”?) </w:t>
      </w:r>
    </w:p>
    <w:p w:rsidR="00C00AA1" w:rsidRPr="00895B92" w:rsidRDefault="00C00AA1" w:rsidP="00C00AA1">
      <w:pPr>
        <w:pStyle w:val="Default"/>
        <w:spacing w:after="194"/>
        <w:rPr>
          <w:rFonts w:ascii="Times New Roman" w:hAnsi="Times New Roman" w:cs="Times New Roman"/>
          <w:color w:val="auto"/>
          <w:lang w:val="sr-Cyrl-CS"/>
        </w:rPr>
      </w:pPr>
      <w:r w:rsidRPr="00C00AA1">
        <w:rPr>
          <w:rFonts w:ascii="Times New Roman" w:hAnsi="Times New Roman" w:cs="Times New Roman"/>
          <w:color w:val="auto"/>
        </w:rPr>
        <w:t>•</w:t>
      </w:r>
      <w:r w:rsidR="00895B92">
        <w:rPr>
          <w:rFonts w:ascii="Times New Roman" w:hAnsi="Times New Roman" w:cs="Times New Roman"/>
          <w:color w:val="auto"/>
          <w:lang w:val="sr-Cyrl-CS"/>
        </w:rPr>
        <w:t xml:space="preserve">Никакве додатне гаранције или </w:t>
      </w:r>
      <w:r w:rsidR="00895B92">
        <w:rPr>
          <w:rFonts w:ascii="Times New Roman" w:hAnsi="Times New Roman" w:cs="Times New Roman"/>
          <w:b/>
          <w:bCs/>
          <w:color w:val="auto"/>
          <w:lang w:val="sr-Cyrl-CS"/>
        </w:rPr>
        <w:t>обезбеђења не могу бити прихваћени</w:t>
      </w:r>
      <w:r w:rsidRPr="00C00AA1">
        <w:rPr>
          <w:rFonts w:ascii="Times New Roman" w:hAnsi="Times New Roman" w:cs="Times New Roman"/>
          <w:b/>
          <w:bCs/>
          <w:color w:val="auto"/>
        </w:rPr>
        <w:t xml:space="preserve"> </w:t>
      </w:r>
      <w:r w:rsidR="00895B92">
        <w:rPr>
          <w:rFonts w:ascii="Times New Roman" w:hAnsi="Times New Roman" w:cs="Times New Roman"/>
          <w:color w:val="auto"/>
          <w:lang w:val="sr-Cyrl-CS"/>
        </w:rPr>
        <w:t xml:space="preserve">нити могу </w:t>
      </w:r>
      <w:proofErr w:type="gramStart"/>
      <w:r w:rsidR="00895B92">
        <w:rPr>
          <w:rFonts w:ascii="Times New Roman" w:hAnsi="Times New Roman" w:cs="Times New Roman"/>
          <w:color w:val="auto"/>
          <w:lang w:val="sr-Cyrl-CS"/>
        </w:rPr>
        <w:t xml:space="preserve">бити </w:t>
      </w:r>
      <w:r w:rsidRPr="00C00AA1">
        <w:rPr>
          <w:rFonts w:ascii="Times New Roman" w:hAnsi="Times New Roman" w:cs="Times New Roman"/>
          <w:color w:val="auto"/>
        </w:rPr>
        <w:t xml:space="preserve"> </w:t>
      </w:r>
      <w:r w:rsidR="00895B92">
        <w:rPr>
          <w:rFonts w:ascii="Times New Roman" w:hAnsi="Times New Roman" w:cs="Times New Roman"/>
          <w:b/>
          <w:bCs/>
          <w:color w:val="auto"/>
          <w:lang w:val="sr-Cyrl-CS"/>
        </w:rPr>
        <w:t>наметнути</w:t>
      </w:r>
      <w:proofErr w:type="gramEnd"/>
      <w:r w:rsidRPr="00C00AA1">
        <w:rPr>
          <w:rFonts w:ascii="Times New Roman" w:hAnsi="Times New Roman" w:cs="Times New Roman"/>
          <w:b/>
          <w:bCs/>
          <w:color w:val="auto"/>
        </w:rPr>
        <w:t xml:space="preserve"> </w:t>
      </w:r>
      <w:r w:rsidR="00895B92">
        <w:rPr>
          <w:rFonts w:ascii="Times New Roman" w:hAnsi="Times New Roman" w:cs="Times New Roman"/>
          <w:color w:val="auto"/>
          <w:lang w:val="sr-Cyrl-CS"/>
        </w:rPr>
        <w:t>партиципантима</w:t>
      </w:r>
    </w:p>
    <w:p w:rsidR="00C00AA1" w:rsidRPr="00C00AA1" w:rsidRDefault="00C00AA1" w:rsidP="00C00AA1">
      <w:pPr>
        <w:pStyle w:val="Default"/>
        <w:spacing w:after="194"/>
        <w:rPr>
          <w:rFonts w:ascii="Times New Roman" w:hAnsi="Times New Roman" w:cs="Times New Roman"/>
          <w:color w:val="auto"/>
        </w:rPr>
      </w:pPr>
      <w:r w:rsidRPr="00C00AA1">
        <w:rPr>
          <w:rFonts w:ascii="Times New Roman" w:hAnsi="Times New Roman" w:cs="Times New Roman"/>
          <w:color w:val="auto"/>
        </w:rPr>
        <w:t>•</w:t>
      </w:r>
      <w:r w:rsidR="00895B92">
        <w:rPr>
          <w:rFonts w:ascii="Times New Roman" w:hAnsi="Times New Roman" w:cs="Times New Roman"/>
          <w:color w:val="auto"/>
          <w:lang w:val="sr-Cyrl-CS"/>
        </w:rPr>
        <w:t>Задржава се</w:t>
      </w:r>
      <w:r w:rsidRPr="00C00AA1">
        <w:rPr>
          <w:rFonts w:ascii="Times New Roman" w:hAnsi="Times New Roman" w:cs="Times New Roman"/>
          <w:color w:val="auto"/>
        </w:rPr>
        <w:t xml:space="preserve"> 5% </w:t>
      </w:r>
      <w:r w:rsidR="00895B92">
        <w:rPr>
          <w:rFonts w:ascii="Times New Roman" w:hAnsi="Times New Roman" w:cs="Times New Roman"/>
          <w:color w:val="auto"/>
          <w:lang w:val="sr-Cyrl-CS"/>
        </w:rPr>
        <w:t>финансијске контрибуције</w:t>
      </w:r>
      <w:r w:rsidRPr="00C00AA1">
        <w:rPr>
          <w:rFonts w:ascii="Times New Roman" w:hAnsi="Times New Roman" w:cs="Times New Roman"/>
          <w:color w:val="auto"/>
        </w:rPr>
        <w:t xml:space="preserve"> </w:t>
      </w:r>
      <w:r w:rsidR="00895B92">
        <w:rPr>
          <w:rFonts w:ascii="Times New Roman" w:hAnsi="Times New Roman" w:cs="Times New Roman"/>
          <w:color w:val="auto"/>
          <w:lang w:val="sr-Cyrl-CS"/>
        </w:rPr>
        <w:t>ЕУ</w:t>
      </w:r>
      <w:r w:rsidRPr="00C00AA1">
        <w:rPr>
          <w:rFonts w:ascii="Times New Roman" w:hAnsi="Times New Roman" w:cs="Times New Roman"/>
          <w:color w:val="auto"/>
        </w:rPr>
        <w:t xml:space="preserve"> </w:t>
      </w:r>
      <w:r w:rsidR="00895B92">
        <w:rPr>
          <w:rFonts w:ascii="Times New Roman" w:hAnsi="Times New Roman" w:cs="Times New Roman"/>
          <w:color w:val="auto"/>
          <w:lang w:val="sr-Cyrl-CS"/>
        </w:rPr>
        <w:t>од иницијалног</w:t>
      </w:r>
      <w:r w:rsidRPr="00C00AA1">
        <w:rPr>
          <w:rFonts w:ascii="Times New Roman" w:hAnsi="Times New Roman" w:cs="Times New Roman"/>
          <w:color w:val="auto"/>
        </w:rPr>
        <w:t xml:space="preserve"> </w:t>
      </w:r>
      <w:r w:rsidR="00895B92">
        <w:rPr>
          <w:rFonts w:ascii="Times New Roman" w:hAnsi="Times New Roman" w:cs="Times New Roman"/>
          <w:color w:val="auto"/>
          <w:lang w:val="sr-Cyrl-CS"/>
        </w:rPr>
        <w:t>предфинансирања</w:t>
      </w:r>
      <w:r w:rsidRPr="00C00AA1">
        <w:rPr>
          <w:rFonts w:ascii="Times New Roman" w:hAnsi="Times New Roman" w:cs="Times New Roman"/>
          <w:color w:val="auto"/>
        </w:rPr>
        <w:t xml:space="preserve"> </w:t>
      </w:r>
    </w:p>
    <w:p w:rsidR="00432504" w:rsidRPr="00895B92" w:rsidRDefault="00C00AA1" w:rsidP="00895B92">
      <w:pPr>
        <w:pStyle w:val="Default"/>
        <w:rPr>
          <w:rStyle w:val="Strong"/>
          <w:rFonts w:ascii="Times New Roman" w:hAnsi="Times New Roman" w:cs="Times New Roman"/>
          <w:b w:val="0"/>
          <w:bCs w:val="0"/>
          <w:color w:val="auto"/>
        </w:rPr>
      </w:pPr>
      <w:r w:rsidRPr="00C00AA1">
        <w:rPr>
          <w:rFonts w:ascii="Times New Roman" w:hAnsi="Times New Roman" w:cs="Times New Roman"/>
          <w:color w:val="auto"/>
        </w:rPr>
        <w:t>•5</w:t>
      </w:r>
      <w:proofErr w:type="gramStart"/>
      <w:r w:rsidRPr="00C00AA1">
        <w:rPr>
          <w:rFonts w:ascii="Times New Roman" w:hAnsi="Times New Roman" w:cs="Times New Roman"/>
          <w:color w:val="auto"/>
        </w:rPr>
        <w:t xml:space="preserve">% </w:t>
      </w:r>
      <w:r w:rsidR="00895B92">
        <w:rPr>
          <w:rFonts w:ascii="Times New Roman" w:hAnsi="Times New Roman" w:cs="Times New Roman"/>
          <w:color w:val="auto"/>
          <w:lang w:val="sr-Cyrl-CS"/>
        </w:rPr>
        <w:t xml:space="preserve"> контрибуције</w:t>
      </w:r>
      <w:proofErr w:type="gramEnd"/>
      <w:r w:rsidR="00895B92">
        <w:rPr>
          <w:rFonts w:ascii="Times New Roman" w:hAnsi="Times New Roman" w:cs="Times New Roman"/>
          <w:color w:val="auto"/>
          <w:lang w:val="sr-Cyrl-CS"/>
        </w:rPr>
        <w:t xml:space="preserve"> враћа се партиципантима по завршетку акције </w:t>
      </w:r>
    </w:p>
    <w:p w:rsidR="00432504" w:rsidRDefault="00432504" w:rsidP="00432504">
      <w:pPr>
        <w:pStyle w:val="NormalWeb"/>
        <w:rPr>
          <w:rStyle w:val="Strong"/>
          <w:color w:val="FF0000"/>
        </w:rPr>
      </w:pPr>
    </w:p>
    <w:p w:rsidR="00432504" w:rsidRPr="00895B92" w:rsidRDefault="00432504" w:rsidP="00895B92">
      <w:pPr>
        <w:pStyle w:val="NormalWeb"/>
        <w:jc w:val="center"/>
        <w:rPr>
          <w:sz w:val="32"/>
          <w:szCs w:val="32"/>
          <w:u w:val="single"/>
        </w:rPr>
      </w:pPr>
      <w:r w:rsidRPr="00895B92">
        <w:rPr>
          <w:rStyle w:val="Strong"/>
          <w:sz w:val="32"/>
          <w:szCs w:val="32"/>
          <w:u w:val="single"/>
        </w:rPr>
        <w:t>ХОРИЗОНТ ЧЕТВРТКОМ</w:t>
      </w:r>
    </w:p>
    <w:p w:rsidR="009F4F3C" w:rsidRPr="008B4680" w:rsidRDefault="00432504" w:rsidP="008B4680">
      <w:pPr>
        <w:pStyle w:val="NormalWeb"/>
        <w:jc w:val="both"/>
        <w:rPr>
          <w:lang w:val="sr-Cyrl-CS"/>
        </w:rPr>
      </w:pPr>
      <w:proofErr w:type="gramStart"/>
      <w:r>
        <w:t xml:space="preserve">Након што се Република Србија укључила у </w:t>
      </w:r>
      <w:r>
        <w:rPr>
          <w:rStyle w:val="Emphasis"/>
        </w:rPr>
        <w:t>Хоризонт 2020</w:t>
      </w:r>
      <w:r>
        <w:t>, ЦПН сваког четвртка организује представљање овог програма.</w:t>
      </w:r>
      <w:proofErr w:type="gramEnd"/>
      <w:r>
        <w:t xml:space="preserve"> </w:t>
      </w:r>
      <w:proofErr w:type="gramStart"/>
      <w:r>
        <w:t>”Хоризонт четвртком”, у Научном клубу у центру Београда, отворен је за научну заједницу, мала и средња предузећа, цивилно друштво и све заинтересоване грађане.</w:t>
      </w:r>
      <w:proofErr w:type="gramEnd"/>
    </w:p>
    <w:sectPr w:rsidR="009F4F3C" w:rsidRPr="008B4680" w:rsidSect="009F4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3AB"/>
    <w:multiLevelType w:val="hybridMultilevel"/>
    <w:tmpl w:val="C16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4EB0"/>
    <w:multiLevelType w:val="hybridMultilevel"/>
    <w:tmpl w:val="EAA0B7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07A04"/>
    <w:multiLevelType w:val="hybridMultilevel"/>
    <w:tmpl w:val="8CD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3384A"/>
    <w:multiLevelType w:val="hybridMultilevel"/>
    <w:tmpl w:val="5F5CE0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387E80"/>
    <w:multiLevelType w:val="hybridMultilevel"/>
    <w:tmpl w:val="8AF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F57D3"/>
    <w:multiLevelType w:val="hybridMultilevel"/>
    <w:tmpl w:val="77C2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1C6B20"/>
    <w:multiLevelType w:val="hybridMultilevel"/>
    <w:tmpl w:val="48E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76460"/>
    <w:multiLevelType w:val="hybridMultilevel"/>
    <w:tmpl w:val="F6302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93C36"/>
    <w:multiLevelType w:val="multilevel"/>
    <w:tmpl w:val="FC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56620"/>
    <w:multiLevelType w:val="hybridMultilevel"/>
    <w:tmpl w:val="71F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E3305"/>
    <w:multiLevelType w:val="hybridMultilevel"/>
    <w:tmpl w:val="189096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B12A94"/>
    <w:multiLevelType w:val="hybridMultilevel"/>
    <w:tmpl w:val="4BB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03C63"/>
    <w:multiLevelType w:val="hybridMultilevel"/>
    <w:tmpl w:val="E5A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03045"/>
    <w:multiLevelType w:val="hybridMultilevel"/>
    <w:tmpl w:val="19E4BD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5D00CC"/>
    <w:multiLevelType w:val="hybridMultilevel"/>
    <w:tmpl w:val="6F7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85ECD"/>
    <w:multiLevelType w:val="hybridMultilevel"/>
    <w:tmpl w:val="6C403DF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C604688"/>
    <w:multiLevelType w:val="hybridMultilevel"/>
    <w:tmpl w:val="30E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A66DC"/>
    <w:multiLevelType w:val="hybridMultilevel"/>
    <w:tmpl w:val="B4FA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24D63"/>
    <w:multiLevelType w:val="hybridMultilevel"/>
    <w:tmpl w:val="1EFE61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422EC9"/>
    <w:multiLevelType w:val="hybridMultilevel"/>
    <w:tmpl w:val="15D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97118"/>
    <w:multiLevelType w:val="hybridMultilevel"/>
    <w:tmpl w:val="838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A3B5C"/>
    <w:multiLevelType w:val="hybridMultilevel"/>
    <w:tmpl w:val="D0C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F0949"/>
    <w:multiLevelType w:val="hybridMultilevel"/>
    <w:tmpl w:val="CD2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27054"/>
    <w:multiLevelType w:val="hybridMultilevel"/>
    <w:tmpl w:val="0DA49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D748D8"/>
    <w:multiLevelType w:val="hybridMultilevel"/>
    <w:tmpl w:val="B8B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21A57"/>
    <w:multiLevelType w:val="hybridMultilevel"/>
    <w:tmpl w:val="5B0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7181E"/>
    <w:multiLevelType w:val="hybridMultilevel"/>
    <w:tmpl w:val="FD9E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40153"/>
    <w:multiLevelType w:val="hybridMultilevel"/>
    <w:tmpl w:val="ED3824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19"/>
  </w:num>
  <w:num w:numId="4">
    <w:abstractNumId w:val="11"/>
  </w:num>
  <w:num w:numId="5">
    <w:abstractNumId w:val="12"/>
  </w:num>
  <w:num w:numId="6">
    <w:abstractNumId w:val="25"/>
  </w:num>
  <w:num w:numId="7">
    <w:abstractNumId w:val="24"/>
  </w:num>
  <w:num w:numId="8">
    <w:abstractNumId w:val="6"/>
  </w:num>
  <w:num w:numId="9">
    <w:abstractNumId w:val="17"/>
  </w:num>
  <w:num w:numId="10">
    <w:abstractNumId w:val="16"/>
  </w:num>
  <w:num w:numId="11">
    <w:abstractNumId w:val="0"/>
  </w:num>
  <w:num w:numId="12">
    <w:abstractNumId w:val="13"/>
  </w:num>
  <w:num w:numId="13">
    <w:abstractNumId w:val="18"/>
  </w:num>
  <w:num w:numId="14">
    <w:abstractNumId w:val="7"/>
  </w:num>
  <w:num w:numId="15">
    <w:abstractNumId w:val="20"/>
  </w:num>
  <w:num w:numId="16">
    <w:abstractNumId w:val="21"/>
  </w:num>
  <w:num w:numId="17">
    <w:abstractNumId w:val="9"/>
  </w:num>
  <w:num w:numId="18">
    <w:abstractNumId w:val="5"/>
  </w:num>
  <w:num w:numId="19">
    <w:abstractNumId w:val="4"/>
  </w:num>
  <w:num w:numId="20">
    <w:abstractNumId w:val="23"/>
  </w:num>
  <w:num w:numId="21">
    <w:abstractNumId w:val="3"/>
  </w:num>
  <w:num w:numId="22">
    <w:abstractNumId w:val="1"/>
  </w:num>
  <w:num w:numId="23">
    <w:abstractNumId w:val="22"/>
  </w:num>
  <w:num w:numId="24">
    <w:abstractNumId w:val="15"/>
  </w:num>
  <w:num w:numId="25">
    <w:abstractNumId w:val="2"/>
  </w:num>
  <w:num w:numId="26">
    <w:abstractNumId w:val="10"/>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23468"/>
    <w:rsid w:val="00013318"/>
    <w:rsid w:val="001476CA"/>
    <w:rsid w:val="00391D71"/>
    <w:rsid w:val="00432504"/>
    <w:rsid w:val="00723468"/>
    <w:rsid w:val="00895B92"/>
    <w:rsid w:val="008B4680"/>
    <w:rsid w:val="009F4F3C"/>
    <w:rsid w:val="00B30228"/>
    <w:rsid w:val="00C00AA1"/>
    <w:rsid w:val="00C80AB6"/>
    <w:rsid w:val="00CB62FB"/>
    <w:rsid w:val="00DC7643"/>
    <w:rsid w:val="00FF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68"/>
  </w:style>
  <w:style w:type="paragraph" w:styleId="Heading4">
    <w:name w:val="heading 4"/>
    <w:basedOn w:val="Normal"/>
    <w:link w:val="Heading4Char"/>
    <w:uiPriority w:val="9"/>
    <w:qFormat/>
    <w:rsid w:val="007234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68"/>
    <w:rPr>
      <w:rFonts w:ascii="Tahoma" w:hAnsi="Tahoma" w:cs="Tahoma"/>
      <w:sz w:val="16"/>
      <w:szCs w:val="16"/>
    </w:rPr>
  </w:style>
  <w:style w:type="character" w:customStyle="1" w:styleId="Heading4Char">
    <w:name w:val="Heading 4 Char"/>
    <w:basedOn w:val="DefaultParagraphFont"/>
    <w:link w:val="Heading4"/>
    <w:uiPriority w:val="9"/>
    <w:rsid w:val="00723468"/>
    <w:rPr>
      <w:rFonts w:ascii="Times New Roman" w:eastAsia="Times New Roman" w:hAnsi="Times New Roman" w:cs="Times New Roman"/>
      <w:b/>
      <w:bCs/>
      <w:sz w:val="24"/>
      <w:szCs w:val="24"/>
    </w:rPr>
  </w:style>
  <w:style w:type="paragraph" w:styleId="NormalWeb">
    <w:name w:val="Normal (Web)"/>
    <w:basedOn w:val="Normal"/>
    <w:uiPriority w:val="99"/>
    <w:unhideWhenUsed/>
    <w:rsid w:val="00723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468"/>
    <w:rPr>
      <w:b/>
      <w:bCs/>
    </w:rPr>
  </w:style>
  <w:style w:type="character" w:styleId="Emphasis">
    <w:name w:val="Emphasis"/>
    <w:basedOn w:val="DefaultParagraphFont"/>
    <w:uiPriority w:val="20"/>
    <w:qFormat/>
    <w:rsid w:val="00723468"/>
    <w:rPr>
      <w:i/>
      <w:iCs/>
    </w:rPr>
  </w:style>
  <w:style w:type="character" w:styleId="Hyperlink">
    <w:name w:val="Hyperlink"/>
    <w:basedOn w:val="DefaultParagraphFont"/>
    <w:uiPriority w:val="99"/>
    <w:semiHidden/>
    <w:unhideWhenUsed/>
    <w:rsid w:val="00432504"/>
    <w:rPr>
      <w:color w:val="0000FF"/>
      <w:u w:val="single"/>
    </w:rPr>
  </w:style>
  <w:style w:type="paragraph" w:customStyle="1" w:styleId="Default">
    <w:name w:val="Default"/>
    <w:rsid w:val="00C80AB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C7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t.gov.rs/wp-content/uploads/2014/01/Prioriteti-H2020.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research/innovation-union/index_en.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ope2020/index_en.htm" TargetMode="External"/><Relationship Id="rId11" Type="http://schemas.openxmlformats.org/officeDocument/2006/relationships/hyperlink" Target="http://ec.europa.eu/research/participants/portal/desktop/en/support/national_contact_points.html" TargetMode="External"/><Relationship Id="rId5" Type="http://schemas.openxmlformats.org/officeDocument/2006/relationships/hyperlink" Target="http://ec.europa.eu/programmes/horizon2020/en" TargetMode="External"/><Relationship Id="rId10" Type="http://schemas.openxmlformats.org/officeDocument/2006/relationships/hyperlink" Target="http://ec.europa.eu/research/participants/portal/desktop/en/opportunities/h2020/index.html?utm_source=buffer&amp;utm_campaign=Buffer&amp;utm_content=buffer0870b&amp;utm_medium=googl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Panonska Inicijativa</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Dunja</cp:lastModifiedBy>
  <cp:revision>1</cp:revision>
  <dcterms:created xsi:type="dcterms:W3CDTF">2016-08-02T07:45:00Z</dcterms:created>
  <dcterms:modified xsi:type="dcterms:W3CDTF">2016-08-02T10:27:00Z</dcterms:modified>
</cp:coreProperties>
</file>